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495" w:rsidRDefault="00181495" w:rsidP="000128C5">
      <w:pPr>
        <w:spacing w:line="240" w:lineRule="auto"/>
        <w:rPr>
          <w:rFonts w:ascii="Corbel" w:hAnsi="Corbel"/>
          <w:sz w:val="22"/>
          <w:szCs w:val="22"/>
        </w:rPr>
      </w:pPr>
      <w:bookmarkStart w:id="0" w:name="_GoBack"/>
      <w:bookmarkEnd w:id="0"/>
    </w:p>
    <w:p w:rsidR="00181495" w:rsidRDefault="00181495" w:rsidP="000128C5">
      <w:pPr>
        <w:spacing w:line="240" w:lineRule="auto"/>
        <w:rPr>
          <w:rFonts w:ascii="Corbel" w:hAnsi="Corbel"/>
          <w:sz w:val="22"/>
          <w:szCs w:val="22"/>
        </w:rPr>
      </w:pPr>
    </w:p>
    <w:p w:rsidR="006E4187" w:rsidRPr="00F10728" w:rsidRDefault="00181495" w:rsidP="00F10728">
      <w:pPr>
        <w:spacing w:line="240" w:lineRule="auto"/>
        <w:jc w:val="center"/>
        <w:rPr>
          <w:rFonts w:ascii="Corbel" w:hAnsi="Corbel"/>
          <w:b/>
          <w:color w:val="336600"/>
          <w:sz w:val="22"/>
          <w:szCs w:val="22"/>
        </w:rPr>
      </w:pPr>
      <w:r w:rsidRPr="00F10728">
        <w:rPr>
          <w:rFonts w:ascii="Corbel" w:hAnsi="Corbel"/>
          <w:b/>
          <w:noProof/>
          <w:color w:val="336600"/>
          <w:sz w:val="22"/>
          <w:szCs w:val="22"/>
          <w:lang w:eastAsia="es-ES"/>
        </w:rPr>
        <w:drawing>
          <wp:anchor distT="0" distB="0" distL="114300" distR="114300" simplePos="0" relativeHeight="251658240" behindDoc="1" locked="0" layoutInCell="1" allowOverlap="1">
            <wp:simplePos x="0" y="0"/>
            <wp:positionH relativeFrom="column">
              <wp:posOffset>-1253490</wp:posOffset>
            </wp:positionH>
            <wp:positionV relativeFrom="paragraph">
              <wp:posOffset>-1755140</wp:posOffset>
            </wp:positionV>
            <wp:extent cx="7917180" cy="11212830"/>
            <wp:effectExtent l="19050" t="0" r="7620" b="0"/>
            <wp:wrapNone/>
            <wp:docPr id="1" name="0 Imagen" descr="fondo_jornadAM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jornadAMagrama.png"/>
                    <pic:cNvPicPr/>
                  </pic:nvPicPr>
                  <pic:blipFill>
                    <a:blip r:embed="rId7" cstate="print"/>
                    <a:stretch>
                      <a:fillRect/>
                    </a:stretch>
                  </pic:blipFill>
                  <pic:spPr>
                    <a:xfrm>
                      <a:off x="0" y="0"/>
                      <a:ext cx="7917180" cy="11212830"/>
                    </a:xfrm>
                    <a:prstGeom prst="rect">
                      <a:avLst/>
                    </a:prstGeom>
                  </pic:spPr>
                </pic:pic>
              </a:graphicData>
            </a:graphic>
          </wp:anchor>
        </w:drawing>
      </w:r>
      <w:r w:rsidR="006E4187" w:rsidRPr="00F10728">
        <w:rPr>
          <w:rFonts w:ascii="Corbel" w:hAnsi="Corbel"/>
          <w:b/>
          <w:color w:val="336600"/>
          <w:sz w:val="22"/>
          <w:szCs w:val="22"/>
        </w:rPr>
        <w:t xml:space="preserve">JORNADA EMISIONES SECTOR VIDRIO  </w:t>
      </w:r>
      <w:r w:rsidR="00F10728">
        <w:rPr>
          <w:rFonts w:ascii="Corbel" w:hAnsi="Corbel"/>
          <w:b/>
          <w:color w:val="336600"/>
          <w:sz w:val="22"/>
          <w:szCs w:val="22"/>
        </w:rPr>
        <w:t xml:space="preserve">- </w:t>
      </w:r>
      <w:r w:rsidR="006E4187" w:rsidRPr="00F10728">
        <w:rPr>
          <w:rFonts w:ascii="Corbel" w:hAnsi="Corbel"/>
          <w:b/>
          <w:i/>
          <w:iCs/>
          <w:color w:val="336600"/>
          <w:sz w:val="22"/>
          <w:szCs w:val="22"/>
        </w:rPr>
        <w:t>Puntos Clave</w:t>
      </w:r>
    </w:p>
    <w:p w:rsidR="00BA3DB8" w:rsidRPr="00BA3DB8" w:rsidRDefault="00BA3DB8" w:rsidP="000128C5">
      <w:pPr>
        <w:spacing w:line="240" w:lineRule="auto"/>
        <w:jc w:val="both"/>
        <w:rPr>
          <w:rFonts w:ascii="Corbel" w:hAnsi="Corbel"/>
          <w:sz w:val="22"/>
          <w:szCs w:val="22"/>
          <w:lang w:val="ca-ES"/>
        </w:rPr>
      </w:pPr>
      <w:r w:rsidRPr="00BA3DB8">
        <w:rPr>
          <w:rFonts w:ascii="Corbel" w:hAnsi="Corbel"/>
          <w:sz w:val="22"/>
          <w:szCs w:val="22"/>
        </w:rPr>
        <w:t xml:space="preserve">La publicación de las </w:t>
      </w:r>
      <w:r w:rsidRPr="00BA3DB8">
        <w:rPr>
          <w:rFonts w:ascii="Corbel" w:hAnsi="Corbel"/>
          <w:i/>
          <w:iCs/>
          <w:sz w:val="22"/>
          <w:szCs w:val="22"/>
        </w:rPr>
        <w:t xml:space="preserve">Conclusiones sobre Mejor Técnicas Disponibles </w:t>
      </w:r>
      <w:proofErr w:type="spellStart"/>
      <w:r w:rsidRPr="00BA3DB8">
        <w:rPr>
          <w:rFonts w:ascii="Corbel" w:hAnsi="Corbel"/>
          <w:i/>
          <w:iCs/>
          <w:sz w:val="22"/>
          <w:szCs w:val="22"/>
        </w:rPr>
        <w:t>MTDs</w:t>
      </w:r>
      <w:proofErr w:type="spellEnd"/>
      <w:r w:rsidRPr="00BA3DB8">
        <w:rPr>
          <w:rFonts w:ascii="Corbel" w:hAnsi="Corbel"/>
          <w:i/>
          <w:iCs/>
          <w:sz w:val="22"/>
          <w:szCs w:val="22"/>
        </w:rPr>
        <w:t xml:space="preserve"> (BAT </w:t>
      </w:r>
      <w:proofErr w:type="spellStart"/>
      <w:r w:rsidRPr="00BA3DB8">
        <w:rPr>
          <w:rFonts w:ascii="Corbel" w:hAnsi="Corbel"/>
          <w:i/>
          <w:iCs/>
          <w:sz w:val="22"/>
          <w:szCs w:val="22"/>
        </w:rPr>
        <w:t>Conclusions</w:t>
      </w:r>
      <w:proofErr w:type="spellEnd"/>
      <w:r w:rsidRPr="00BA3DB8">
        <w:rPr>
          <w:rFonts w:ascii="Corbel" w:hAnsi="Corbel"/>
          <w:i/>
          <w:iCs/>
          <w:sz w:val="22"/>
          <w:szCs w:val="22"/>
        </w:rPr>
        <w:t>)</w:t>
      </w:r>
      <w:r w:rsidRPr="00BA3DB8">
        <w:rPr>
          <w:rFonts w:ascii="Corbel" w:hAnsi="Corbel"/>
          <w:sz w:val="22"/>
          <w:szCs w:val="22"/>
        </w:rPr>
        <w:t xml:space="preserve"> de fabricación de vidrio en el año 2012</w:t>
      </w:r>
      <w:r>
        <w:rPr>
          <w:rFonts w:ascii="Corbel" w:hAnsi="Corbel"/>
          <w:sz w:val="22"/>
          <w:szCs w:val="22"/>
        </w:rPr>
        <w:t xml:space="preserve"> </w:t>
      </w:r>
      <w:r w:rsidRPr="00BA3DB8">
        <w:rPr>
          <w:rFonts w:ascii="Corbel" w:hAnsi="Corbel"/>
          <w:sz w:val="22"/>
          <w:szCs w:val="22"/>
        </w:rPr>
        <w:t>estableció una serie de</w:t>
      </w:r>
      <w:r>
        <w:rPr>
          <w:rFonts w:ascii="Corbel" w:hAnsi="Corbel"/>
          <w:sz w:val="22"/>
          <w:szCs w:val="22"/>
        </w:rPr>
        <w:t xml:space="preserve"> </w:t>
      </w:r>
      <w:r w:rsidRPr="00BA3DB8">
        <w:rPr>
          <w:rFonts w:ascii="Corbel" w:hAnsi="Corbel"/>
          <w:sz w:val="22"/>
          <w:szCs w:val="22"/>
        </w:rPr>
        <w:t xml:space="preserve"> retos operacionales, técnicos, económicos y ambientales para los que el sector debe prepararse antes de su aplicación efectiva en marzo de 2016.</w:t>
      </w:r>
      <w:r>
        <w:rPr>
          <w:rFonts w:ascii="Corbel" w:hAnsi="Corbel"/>
          <w:sz w:val="22"/>
          <w:szCs w:val="22"/>
        </w:rPr>
        <w:t xml:space="preserve"> </w:t>
      </w:r>
      <w:r w:rsidRPr="00BA3DB8">
        <w:rPr>
          <w:rFonts w:ascii="Corbel" w:hAnsi="Corbel"/>
          <w:sz w:val="22"/>
          <w:szCs w:val="22"/>
        </w:rPr>
        <w:t>Este marco de actuación va a determinar</w:t>
      </w:r>
      <w:r w:rsidR="00AE1AAB">
        <w:rPr>
          <w:rFonts w:ascii="Corbel" w:hAnsi="Corbel"/>
          <w:sz w:val="22"/>
          <w:szCs w:val="22"/>
        </w:rPr>
        <w:t>,</w:t>
      </w:r>
      <w:r w:rsidRPr="00BA3DB8">
        <w:rPr>
          <w:rFonts w:ascii="Corbel" w:hAnsi="Corbel"/>
          <w:sz w:val="22"/>
          <w:szCs w:val="22"/>
        </w:rPr>
        <w:t xml:space="preserve"> en gran medida</w:t>
      </w:r>
      <w:r w:rsidR="00AE1AAB">
        <w:rPr>
          <w:rFonts w:ascii="Corbel" w:hAnsi="Corbel"/>
          <w:sz w:val="22"/>
          <w:szCs w:val="22"/>
        </w:rPr>
        <w:t>,</w:t>
      </w:r>
      <w:r w:rsidRPr="00BA3DB8">
        <w:rPr>
          <w:rFonts w:ascii="Corbel" w:hAnsi="Corbel"/>
          <w:sz w:val="22"/>
          <w:szCs w:val="22"/>
        </w:rPr>
        <w:t xml:space="preserve"> el diseño de los programas de inversiones de las plantas vidrieras así como el alcance de los programas de monitorización y control de las actividades.</w:t>
      </w:r>
    </w:p>
    <w:p w:rsidR="006E4187" w:rsidRPr="00BA3DB8" w:rsidRDefault="00AE1AAB" w:rsidP="000128C5">
      <w:pPr>
        <w:spacing w:line="240" w:lineRule="auto"/>
        <w:jc w:val="both"/>
        <w:rPr>
          <w:rFonts w:ascii="Corbel" w:hAnsi="Corbel"/>
          <w:sz w:val="22"/>
          <w:szCs w:val="22"/>
        </w:rPr>
      </w:pPr>
      <w:r>
        <w:rPr>
          <w:rFonts w:ascii="Corbel" w:hAnsi="Corbel"/>
          <w:sz w:val="22"/>
          <w:szCs w:val="22"/>
        </w:rPr>
        <w:t xml:space="preserve">Los objetivos </w:t>
      </w:r>
      <w:r w:rsidR="006E4187" w:rsidRPr="00BA3DB8">
        <w:rPr>
          <w:rFonts w:ascii="Corbel" w:hAnsi="Corbel"/>
          <w:sz w:val="22"/>
          <w:szCs w:val="22"/>
        </w:rPr>
        <w:t>de la Jornada</w:t>
      </w:r>
      <w:r>
        <w:rPr>
          <w:rFonts w:ascii="Corbel" w:hAnsi="Corbel"/>
          <w:sz w:val="22"/>
          <w:szCs w:val="22"/>
        </w:rPr>
        <w:t xml:space="preserve"> celebrada el pasado 5 de noviembre en Madrid, </w:t>
      </w:r>
      <w:r w:rsidRPr="000128C5">
        <w:rPr>
          <w:rFonts w:ascii="Corbel" w:hAnsi="Corbel"/>
          <w:sz w:val="22"/>
          <w:szCs w:val="22"/>
        </w:rPr>
        <w:t>en el Salón de Actos de Ministerio de Agricultura, Alimentación y Medio Ambiente</w:t>
      </w:r>
      <w:r>
        <w:rPr>
          <w:rFonts w:ascii="Corbel" w:hAnsi="Corbel"/>
          <w:sz w:val="22"/>
          <w:szCs w:val="22"/>
        </w:rPr>
        <w:t xml:space="preserve">, fueron: </w:t>
      </w:r>
    </w:p>
    <w:p w:rsidR="00B27317" w:rsidRPr="00F10728" w:rsidRDefault="005308E8" w:rsidP="000128C5">
      <w:pPr>
        <w:numPr>
          <w:ilvl w:val="0"/>
          <w:numId w:val="1"/>
        </w:numPr>
        <w:spacing w:line="240" w:lineRule="auto"/>
        <w:jc w:val="both"/>
        <w:rPr>
          <w:rFonts w:ascii="Corbel" w:hAnsi="Corbel"/>
          <w:color w:val="336600"/>
          <w:sz w:val="22"/>
          <w:szCs w:val="22"/>
        </w:rPr>
      </w:pPr>
      <w:r w:rsidRPr="00F10728">
        <w:rPr>
          <w:rFonts w:ascii="Corbel" w:hAnsi="Corbel"/>
          <w:iCs/>
          <w:color w:val="336600"/>
          <w:sz w:val="22"/>
          <w:szCs w:val="22"/>
        </w:rPr>
        <w:t>Presentar los retos de la implementación de la norma en relación con las emisiones</w:t>
      </w:r>
    </w:p>
    <w:p w:rsidR="00B27317" w:rsidRPr="00F10728" w:rsidRDefault="005308E8" w:rsidP="000128C5">
      <w:pPr>
        <w:numPr>
          <w:ilvl w:val="0"/>
          <w:numId w:val="1"/>
        </w:numPr>
        <w:spacing w:line="240" w:lineRule="auto"/>
        <w:jc w:val="both"/>
        <w:rPr>
          <w:rFonts w:ascii="Corbel" w:hAnsi="Corbel"/>
          <w:color w:val="336600"/>
          <w:sz w:val="22"/>
          <w:szCs w:val="22"/>
        </w:rPr>
      </w:pPr>
      <w:r w:rsidRPr="00F10728">
        <w:rPr>
          <w:rFonts w:ascii="Corbel" w:hAnsi="Corbel"/>
          <w:iCs/>
          <w:color w:val="336600"/>
          <w:sz w:val="22"/>
          <w:szCs w:val="22"/>
        </w:rPr>
        <w:t xml:space="preserve">Identificación de las experiencias que se han llevado a cabo </w:t>
      </w:r>
    </w:p>
    <w:p w:rsidR="00B27317" w:rsidRPr="00F10728" w:rsidRDefault="005308E8" w:rsidP="000128C5">
      <w:pPr>
        <w:numPr>
          <w:ilvl w:val="0"/>
          <w:numId w:val="1"/>
        </w:numPr>
        <w:spacing w:line="240" w:lineRule="auto"/>
        <w:jc w:val="both"/>
        <w:rPr>
          <w:rFonts w:ascii="Corbel" w:hAnsi="Corbel"/>
          <w:color w:val="336600"/>
          <w:sz w:val="22"/>
          <w:szCs w:val="22"/>
        </w:rPr>
      </w:pPr>
      <w:r w:rsidRPr="00F10728">
        <w:rPr>
          <w:rFonts w:ascii="Corbel" w:hAnsi="Corbel"/>
          <w:iCs/>
          <w:color w:val="336600"/>
          <w:sz w:val="22"/>
          <w:szCs w:val="22"/>
        </w:rPr>
        <w:t>Definir aquellos instrumentos de trabajo que podrían facilitar el cumplimiento de la norma</w:t>
      </w:r>
    </w:p>
    <w:p w:rsidR="006E4187" w:rsidRPr="00BA3DB8" w:rsidRDefault="00BA3DB8" w:rsidP="00AE1AAB">
      <w:pPr>
        <w:spacing w:line="240" w:lineRule="auto"/>
        <w:jc w:val="both"/>
        <w:rPr>
          <w:rFonts w:ascii="Corbel" w:hAnsi="Corbel"/>
          <w:sz w:val="22"/>
          <w:szCs w:val="22"/>
          <w:lang w:val="ca-ES"/>
        </w:rPr>
      </w:pPr>
      <w:r w:rsidRPr="000128C5">
        <w:rPr>
          <w:rFonts w:ascii="Corbel" w:hAnsi="Corbel"/>
          <w:sz w:val="22"/>
          <w:szCs w:val="22"/>
        </w:rPr>
        <w:t xml:space="preserve">A continuación se detallan aquellos aspectos claves identificados durante la </w:t>
      </w:r>
      <w:r w:rsidR="00AE1AAB">
        <w:rPr>
          <w:rFonts w:ascii="Corbel" w:hAnsi="Corbel"/>
          <w:sz w:val="22"/>
          <w:szCs w:val="22"/>
        </w:rPr>
        <w:t>jornada:</w:t>
      </w:r>
    </w:p>
    <w:p w:rsidR="00BA473B" w:rsidRDefault="006E4187" w:rsidP="00072B81">
      <w:pPr>
        <w:pStyle w:val="Prrafodelista"/>
        <w:numPr>
          <w:ilvl w:val="0"/>
          <w:numId w:val="5"/>
        </w:numPr>
        <w:spacing w:line="240" w:lineRule="auto"/>
        <w:jc w:val="both"/>
        <w:rPr>
          <w:rFonts w:ascii="Corbel" w:hAnsi="Corbel"/>
          <w:sz w:val="22"/>
          <w:szCs w:val="22"/>
        </w:rPr>
      </w:pPr>
      <w:r w:rsidRPr="00072B81">
        <w:rPr>
          <w:rFonts w:ascii="Corbel" w:hAnsi="Corbel"/>
          <w:sz w:val="22"/>
          <w:szCs w:val="22"/>
        </w:rPr>
        <w:t xml:space="preserve">Los </w:t>
      </w:r>
      <w:r w:rsidRPr="00AE1AAB">
        <w:rPr>
          <w:rFonts w:ascii="Corbel" w:hAnsi="Corbel"/>
          <w:sz w:val="22"/>
          <w:szCs w:val="22"/>
          <w:u w:val="single"/>
        </w:rPr>
        <w:t>Valores Limites Emisión</w:t>
      </w:r>
      <w:r w:rsidRPr="00072B81">
        <w:rPr>
          <w:rFonts w:ascii="Corbel" w:hAnsi="Corbel"/>
          <w:sz w:val="22"/>
          <w:szCs w:val="22"/>
        </w:rPr>
        <w:t xml:space="preserve"> (VLE) del BREF se incorporan en las Autorizaciones Ambientales Integradas</w:t>
      </w:r>
      <w:r w:rsidR="00AE1AAB">
        <w:rPr>
          <w:rFonts w:ascii="Corbel" w:hAnsi="Corbel"/>
          <w:sz w:val="22"/>
          <w:szCs w:val="22"/>
        </w:rPr>
        <w:t>, para su revisión en</w:t>
      </w:r>
      <w:r w:rsidR="000128C5" w:rsidRPr="00072B81">
        <w:rPr>
          <w:rFonts w:ascii="Corbel" w:hAnsi="Corbel"/>
          <w:sz w:val="22"/>
          <w:szCs w:val="22"/>
        </w:rPr>
        <w:t xml:space="preserve"> </w:t>
      </w:r>
      <w:r w:rsidR="000128C5" w:rsidRPr="00AE1AAB">
        <w:rPr>
          <w:rFonts w:ascii="Corbel" w:hAnsi="Corbel"/>
          <w:sz w:val="22"/>
          <w:szCs w:val="22"/>
          <w:u w:val="single"/>
        </w:rPr>
        <w:t>Marzo de 2016</w:t>
      </w:r>
      <w:r w:rsidRPr="00072B81">
        <w:rPr>
          <w:rFonts w:ascii="Corbel" w:hAnsi="Corbel"/>
          <w:sz w:val="22"/>
          <w:szCs w:val="22"/>
        </w:rPr>
        <w:t xml:space="preserve">. </w:t>
      </w:r>
      <w:r w:rsidR="000128C5" w:rsidRPr="00072B81">
        <w:rPr>
          <w:rFonts w:ascii="Corbel" w:hAnsi="Corbel"/>
          <w:sz w:val="22"/>
          <w:szCs w:val="22"/>
        </w:rPr>
        <w:t xml:space="preserve">En el marco del documento BREF se especifican las condiciones y medidas a considerar en la preparación de las Autorizaciones. </w:t>
      </w:r>
    </w:p>
    <w:p w:rsidR="00072B81" w:rsidRPr="00072B81" w:rsidRDefault="006E4187" w:rsidP="00BA473B">
      <w:pPr>
        <w:pStyle w:val="Prrafodelista"/>
        <w:spacing w:line="240" w:lineRule="auto"/>
        <w:ind w:left="360"/>
        <w:jc w:val="both"/>
        <w:rPr>
          <w:rFonts w:ascii="Corbel" w:hAnsi="Corbel"/>
          <w:sz w:val="22"/>
          <w:szCs w:val="22"/>
        </w:rPr>
      </w:pPr>
      <w:r w:rsidRPr="00072B81">
        <w:rPr>
          <w:rFonts w:ascii="Corbel" w:hAnsi="Corbel"/>
          <w:sz w:val="22"/>
          <w:szCs w:val="22"/>
        </w:rPr>
        <w:t xml:space="preserve">Se considera clave definir </w:t>
      </w:r>
      <w:r w:rsidR="000128C5" w:rsidRPr="00072B81">
        <w:rPr>
          <w:rFonts w:ascii="Corbel" w:hAnsi="Corbel"/>
          <w:sz w:val="22"/>
          <w:szCs w:val="22"/>
        </w:rPr>
        <w:t xml:space="preserve">lo máximo posible las condiciones de medición en relación con la identificación de </w:t>
      </w:r>
      <w:r w:rsidRPr="00072B81">
        <w:rPr>
          <w:rFonts w:ascii="Corbel" w:hAnsi="Corbel"/>
          <w:sz w:val="22"/>
          <w:szCs w:val="22"/>
        </w:rPr>
        <w:t>contaminantes</w:t>
      </w:r>
      <w:r w:rsidR="00BA473B">
        <w:rPr>
          <w:rFonts w:ascii="Corbel" w:hAnsi="Corbel"/>
          <w:sz w:val="22"/>
          <w:szCs w:val="22"/>
        </w:rPr>
        <w:t xml:space="preserve">, </w:t>
      </w:r>
      <w:r w:rsidR="000128C5" w:rsidRPr="00072B81">
        <w:rPr>
          <w:rFonts w:ascii="Corbel" w:hAnsi="Corbel"/>
          <w:sz w:val="22"/>
          <w:szCs w:val="22"/>
        </w:rPr>
        <w:t>método de medición</w:t>
      </w:r>
      <w:r w:rsidR="00BA473B">
        <w:rPr>
          <w:rFonts w:ascii="Corbel" w:hAnsi="Corbel"/>
          <w:sz w:val="22"/>
          <w:szCs w:val="22"/>
        </w:rPr>
        <w:t xml:space="preserve">, </w:t>
      </w:r>
      <w:r w:rsidRPr="00072B81">
        <w:rPr>
          <w:rFonts w:ascii="Corbel" w:hAnsi="Corbel"/>
          <w:sz w:val="22"/>
          <w:szCs w:val="22"/>
        </w:rPr>
        <w:t>frecuencia</w:t>
      </w:r>
      <w:r w:rsidR="00BA473B">
        <w:rPr>
          <w:rFonts w:ascii="Corbel" w:hAnsi="Corbel"/>
          <w:sz w:val="22"/>
          <w:szCs w:val="22"/>
        </w:rPr>
        <w:t>, c</w:t>
      </w:r>
      <w:r w:rsidRPr="00072B81">
        <w:rPr>
          <w:rFonts w:ascii="Corbel" w:hAnsi="Corbel"/>
          <w:sz w:val="22"/>
          <w:szCs w:val="22"/>
        </w:rPr>
        <w:t>ondiciones operacionales</w:t>
      </w:r>
      <w:r w:rsidR="00BA473B">
        <w:rPr>
          <w:rFonts w:ascii="Corbel" w:hAnsi="Corbel"/>
          <w:sz w:val="22"/>
          <w:szCs w:val="22"/>
        </w:rPr>
        <w:t xml:space="preserve"> y </w:t>
      </w:r>
      <w:r w:rsidR="000128C5" w:rsidRPr="00072B81">
        <w:rPr>
          <w:rFonts w:ascii="Corbel" w:hAnsi="Corbel"/>
          <w:sz w:val="22"/>
          <w:szCs w:val="22"/>
        </w:rPr>
        <w:t>reporte en aras de facilitar el cumplir con las mismas.</w:t>
      </w:r>
      <w:r w:rsidRPr="00072B81">
        <w:rPr>
          <w:rFonts w:ascii="Corbel" w:hAnsi="Corbel"/>
          <w:sz w:val="22"/>
          <w:szCs w:val="22"/>
        </w:rPr>
        <w:t xml:space="preserve"> </w:t>
      </w:r>
      <w:r w:rsidR="000128C5" w:rsidRPr="00072B81">
        <w:rPr>
          <w:rFonts w:ascii="Corbel" w:hAnsi="Corbel"/>
          <w:sz w:val="22"/>
          <w:szCs w:val="22"/>
        </w:rPr>
        <w:t>De este modo es n</w:t>
      </w:r>
      <w:r w:rsidRPr="00072B81">
        <w:rPr>
          <w:rFonts w:ascii="Corbel" w:hAnsi="Corbel"/>
          <w:sz w:val="22"/>
          <w:szCs w:val="22"/>
        </w:rPr>
        <w:t xml:space="preserve">ecesario disponer de una calidad de información sobre las emisiones que asegure que la información es representativa. </w:t>
      </w:r>
      <w:r w:rsidR="000128C5" w:rsidRPr="00072B81">
        <w:rPr>
          <w:rFonts w:ascii="Corbel" w:hAnsi="Corbel"/>
          <w:sz w:val="22"/>
          <w:szCs w:val="22"/>
        </w:rPr>
        <w:t xml:space="preserve">En el marco de del BREF de aplicación al sector del vidrio es relevante </w:t>
      </w:r>
      <w:r w:rsidRPr="00072B81">
        <w:rPr>
          <w:rFonts w:ascii="Corbel" w:hAnsi="Corbel"/>
          <w:sz w:val="22"/>
          <w:szCs w:val="22"/>
        </w:rPr>
        <w:t xml:space="preserve">considerar las peculiaridades de los procesos de fabricación del vidrio. </w:t>
      </w:r>
    </w:p>
    <w:p w:rsidR="00072B81" w:rsidRDefault="00BA473B" w:rsidP="00072B81">
      <w:pPr>
        <w:spacing w:line="240" w:lineRule="auto"/>
        <w:ind w:left="360"/>
        <w:jc w:val="both"/>
        <w:rPr>
          <w:rFonts w:ascii="Corbel" w:hAnsi="Corbel"/>
          <w:sz w:val="22"/>
          <w:szCs w:val="22"/>
        </w:rPr>
      </w:pPr>
      <w:r>
        <w:rPr>
          <w:rFonts w:ascii="Corbel" w:hAnsi="Corbel"/>
          <w:sz w:val="22"/>
          <w:szCs w:val="22"/>
        </w:rPr>
        <w:t xml:space="preserve">Una </w:t>
      </w:r>
      <w:r w:rsidR="00072B81" w:rsidRPr="00072B81">
        <w:rPr>
          <w:rFonts w:ascii="Corbel" w:hAnsi="Corbel"/>
          <w:sz w:val="22"/>
          <w:szCs w:val="22"/>
        </w:rPr>
        <w:t xml:space="preserve">definición </w:t>
      </w:r>
      <w:r>
        <w:rPr>
          <w:rFonts w:ascii="Corbel" w:hAnsi="Corbel"/>
          <w:sz w:val="22"/>
          <w:szCs w:val="22"/>
        </w:rPr>
        <w:t>tan</w:t>
      </w:r>
      <w:r w:rsidR="00072B81" w:rsidRPr="00072B81">
        <w:rPr>
          <w:rFonts w:ascii="Corbel" w:hAnsi="Corbel"/>
          <w:sz w:val="22"/>
          <w:szCs w:val="22"/>
        </w:rPr>
        <w:t xml:space="preserve"> detallada </w:t>
      </w:r>
      <w:r>
        <w:rPr>
          <w:rFonts w:ascii="Corbel" w:hAnsi="Corbel"/>
          <w:sz w:val="22"/>
          <w:szCs w:val="22"/>
        </w:rPr>
        <w:t xml:space="preserve">como sea </w:t>
      </w:r>
      <w:r w:rsidR="00072B81" w:rsidRPr="00072B81">
        <w:rPr>
          <w:rFonts w:ascii="Corbel" w:hAnsi="Corbel"/>
          <w:sz w:val="22"/>
          <w:szCs w:val="22"/>
        </w:rPr>
        <w:t xml:space="preserve">posible de las condiciones de monitorización de las emisiones </w:t>
      </w:r>
      <w:r>
        <w:rPr>
          <w:rFonts w:ascii="Corbel" w:hAnsi="Corbel"/>
          <w:sz w:val="22"/>
          <w:szCs w:val="22"/>
        </w:rPr>
        <w:t>permitirá</w:t>
      </w:r>
      <w:r w:rsidR="00072B81" w:rsidRPr="00072B81">
        <w:rPr>
          <w:rFonts w:ascii="Corbel" w:hAnsi="Corbel"/>
          <w:sz w:val="22"/>
          <w:szCs w:val="22"/>
        </w:rPr>
        <w:t xml:space="preserve"> garantizar la labor </w:t>
      </w:r>
      <w:r w:rsidR="00072B81">
        <w:rPr>
          <w:rFonts w:ascii="Corbel" w:hAnsi="Corbel"/>
          <w:sz w:val="22"/>
          <w:szCs w:val="22"/>
        </w:rPr>
        <w:t>tanto de la Administración ambiental (</w:t>
      </w:r>
      <w:r w:rsidR="00072B81" w:rsidRPr="00BA473B">
        <w:rPr>
          <w:rFonts w:ascii="Corbel" w:hAnsi="Corbel"/>
          <w:i/>
          <w:sz w:val="22"/>
          <w:szCs w:val="22"/>
        </w:rPr>
        <w:t>incluyendo el otorgamiento de las medidas de la autorización así como la inspección del cumplimiento de las mismas y de los valores de emisión</w:t>
      </w:r>
      <w:r w:rsidR="00072B81">
        <w:rPr>
          <w:rFonts w:ascii="Corbel" w:hAnsi="Corbel"/>
          <w:sz w:val="22"/>
          <w:szCs w:val="22"/>
        </w:rPr>
        <w:t xml:space="preserve">), </w:t>
      </w:r>
      <w:r>
        <w:rPr>
          <w:rFonts w:ascii="Corbel" w:hAnsi="Corbel"/>
          <w:sz w:val="22"/>
          <w:szCs w:val="22"/>
        </w:rPr>
        <w:t>como</w:t>
      </w:r>
      <w:r w:rsidR="00072B81">
        <w:rPr>
          <w:rFonts w:ascii="Corbel" w:hAnsi="Corbel"/>
          <w:sz w:val="22"/>
          <w:szCs w:val="22"/>
        </w:rPr>
        <w:t xml:space="preserve"> del sector del vidrio desde las tareas de producción, control operacional y seguimiento de las emisiones.</w:t>
      </w:r>
    </w:p>
    <w:p w:rsidR="00F10728" w:rsidRDefault="00BA473B" w:rsidP="00072B81">
      <w:pPr>
        <w:spacing w:line="240" w:lineRule="auto"/>
        <w:ind w:left="360"/>
        <w:jc w:val="both"/>
        <w:rPr>
          <w:rFonts w:ascii="Corbel" w:hAnsi="Corbel"/>
          <w:sz w:val="22"/>
          <w:szCs w:val="22"/>
        </w:rPr>
      </w:pPr>
      <w:r>
        <w:rPr>
          <w:rFonts w:ascii="Corbel" w:hAnsi="Corbel"/>
          <w:sz w:val="22"/>
          <w:szCs w:val="22"/>
        </w:rPr>
        <w:t>En este sentido, l</w:t>
      </w:r>
      <w:r w:rsidR="003C6336">
        <w:rPr>
          <w:rFonts w:ascii="Corbel" w:hAnsi="Corbel"/>
          <w:sz w:val="22"/>
          <w:szCs w:val="22"/>
        </w:rPr>
        <w:t xml:space="preserve">os participantes de la jornada (tanto la administración </w:t>
      </w:r>
      <w:r w:rsidR="006D1F8B">
        <w:rPr>
          <w:rFonts w:ascii="Corbel" w:hAnsi="Corbel"/>
          <w:sz w:val="22"/>
          <w:szCs w:val="22"/>
        </w:rPr>
        <w:t xml:space="preserve">ambiental como </w:t>
      </w:r>
      <w:r w:rsidR="003C6336">
        <w:rPr>
          <w:rFonts w:ascii="Corbel" w:hAnsi="Corbel"/>
          <w:sz w:val="22"/>
          <w:szCs w:val="22"/>
        </w:rPr>
        <w:t xml:space="preserve">las empresas </w:t>
      </w:r>
      <w:r w:rsidR="006D1F8B">
        <w:rPr>
          <w:rFonts w:ascii="Corbel" w:hAnsi="Corbel"/>
          <w:sz w:val="22"/>
          <w:szCs w:val="22"/>
        </w:rPr>
        <w:t>del sector del vidrio</w:t>
      </w:r>
      <w:r w:rsidR="003C6336">
        <w:rPr>
          <w:rFonts w:ascii="Corbel" w:hAnsi="Corbel"/>
          <w:sz w:val="22"/>
          <w:szCs w:val="22"/>
        </w:rPr>
        <w:t>)</w:t>
      </w:r>
      <w:r w:rsidR="006D1F8B">
        <w:rPr>
          <w:rFonts w:ascii="Corbel" w:hAnsi="Corbel"/>
          <w:sz w:val="22"/>
          <w:szCs w:val="22"/>
        </w:rPr>
        <w:t xml:space="preserve">, </w:t>
      </w:r>
      <w:r w:rsidR="004B3B93">
        <w:rPr>
          <w:rFonts w:ascii="Corbel" w:hAnsi="Corbel"/>
          <w:sz w:val="22"/>
          <w:szCs w:val="22"/>
        </w:rPr>
        <w:t>consideraron la idoneidad de</w:t>
      </w:r>
      <w:r w:rsidR="006D1F8B">
        <w:rPr>
          <w:rFonts w:ascii="Corbel" w:hAnsi="Corbel"/>
          <w:sz w:val="22"/>
          <w:szCs w:val="22"/>
        </w:rPr>
        <w:t xml:space="preserve"> identificar estos aspectos </w:t>
      </w:r>
      <w:r>
        <w:rPr>
          <w:rFonts w:ascii="Corbel" w:hAnsi="Corbel"/>
          <w:sz w:val="22"/>
          <w:szCs w:val="22"/>
        </w:rPr>
        <w:t xml:space="preserve">de común </w:t>
      </w:r>
      <w:r w:rsidR="006D1F8B">
        <w:rPr>
          <w:rFonts w:ascii="Corbel" w:hAnsi="Corbel"/>
          <w:sz w:val="22"/>
          <w:szCs w:val="22"/>
        </w:rPr>
        <w:t>aplicación a las Autorizaciones</w:t>
      </w:r>
      <w:r>
        <w:rPr>
          <w:rFonts w:ascii="Corbel" w:hAnsi="Corbel"/>
          <w:sz w:val="22"/>
          <w:szCs w:val="22"/>
        </w:rPr>
        <w:t xml:space="preserve">, </w:t>
      </w:r>
      <w:r w:rsidR="006D1F8B">
        <w:rPr>
          <w:rFonts w:ascii="Corbel" w:hAnsi="Corbel"/>
          <w:sz w:val="22"/>
          <w:szCs w:val="22"/>
        </w:rPr>
        <w:t>facilit</w:t>
      </w:r>
      <w:r>
        <w:rPr>
          <w:rFonts w:ascii="Corbel" w:hAnsi="Corbel"/>
          <w:sz w:val="22"/>
          <w:szCs w:val="22"/>
        </w:rPr>
        <w:t>ando</w:t>
      </w:r>
      <w:r w:rsidR="006D1F8B">
        <w:rPr>
          <w:rFonts w:ascii="Corbel" w:hAnsi="Corbel"/>
          <w:sz w:val="22"/>
          <w:szCs w:val="22"/>
        </w:rPr>
        <w:t xml:space="preserve"> la redacción de las mismas como su aplicación</w:t>
      </w:r>
      <w:r w:rsidR="004B3B93">
        <w:rPr>
          <w:rFonts w:ascii="Corbel" w:hAnsi="Corbel"/>
          <w:sz w:val="22"/>
          <w:szCs w:val="22"/>
        </w:rPr>
        <w:t xml:space="preserve"> en las distintas regiones</w:t>
      </w:r>
      <w:r w:rsidR="006D1F8B">
        <w:rPr>
          <w:rFonts w:ascii="Corbel" w:hAnsi="Corbel"/>
          <w:sz w:val="22"/>
          <w:szCs w:val="22"/>
        </w:rPr>
        <w:t>.</w:t>
      </w:r>
    </w:p>
    <w:p w:rsidR="00F10728" w:rsidRDefault="00F10728">
      <w:pPr>
        <w:rPr>
          <w:rFonts w:ascii="Corbel" w:hAnsi="Corbel"/>
          <w:sz w:val="22"/>
          <w:szCs w:val="22"/>
        </w:rPr>
      </w:pPr>
      <w:r>
        <w:rPr>
          <w:rFonts w:ascii="Corbel" w:hAnsi="Corbel"/>
          <w:sz w:val="22"/>
          <w:szCs w:val="22"/>
        </w:rPr>
        <w:br w:type="page"/>
      </w:r>
    </w:p>
    <w:p w:rsidR="006D1F8B" w:rsidRPr="00072B81" w:rsidRDefault="00F10728" w:rsidP="00072B81">
      <w:pPr>
        <w:spacing w:line="240" w:lineRule="auto"/>
        <w:ind w:left="360"/>
        <w:jc w:val="both"/>
        <w:rPr>
          <w:rFonts w:ascii="Corbel" w:hAnsi="Corbel"/>
          <w:sz w:val="22"/>
          <w:szCs w:val="22"/>
        </w:rPr>
      </w:pPr>
      <w:r w:rsidRPr="00F10728">
        <w:rPr>
          <w:rFonts w:ascii="Corbel" w:hAnsi="Corbel"/>
          <w:noProof/>
          <w:sz w:val="22"/>
          <w:szCs w:val="22"/>
          <w:lang w:eastAsia="es-ES"/>
        </w:rPr>
        <w:lastRenderedPageBreak/>
        <w:drawing>
          <wp:anchor distT="0" distB="0" distL="114300" distR="114300" simplePos="0" relativeHeight="251660288" behindDoc="1" locked="0" layoutInCell="1" allowOverlap="1">
            <wp:simplePos x="0" y="0"/>
            <wp:positionH relativeFrom="column">
              <wp:posOffset>-1101190</wp:posOffset>
            </wp:positionH>
            <wp:positionV relativeFrom="paragraph">
              <wp:posOffset>-1012090</wp:posOffset>
            </wp:positionV>
            <wp:extent cx="7914172" cy="11213432"/>
            <wp:effectExtent l="19050" t="0" r="7620" b="0"/>
            <wp:wrapNone/>
            <wp:docPr id="2" name="0 Imagen" descr="fondo_jornadAM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jornadAMagrama.png"/>
                    <pic:cNvPicPr/>
                  </pic:nvPicPr>
                  <pic:blipFill>
                    <a:blip r:embed="rId7" cstate="print"/>
                    <a:stretch>
                      <a:fillRect/>
                    </a:stretch>
                  </pic:blipFill>
                  <pic:spPr>
                    <a:xfrm>
                      <a:off x="0" y="0"/>
                      <a:ext cx="7917180" cy="11212830"/>
                    </a:xfrm>
                    <a:prstGeom prst="rect">
                      <a:avLst/>
                    </a:prstGeom>
                  </pic:spPr>
                </pic:pic>
              </a:graphicData>
            </a:graphic>
          </wp:anchor>
        </w:drawing>
      </w:r>
    </w:p>
    <w:p w:rsidR="006E4187" w:rsidRPr="00AA4367" w:rsidRDefault="00AA4367" w:rsidP="005216A0">
      <w:pPr>
        <w:pStyle w:val="Prrafodelista"/>
        <w:numPr>
          <w:ilvl w:val="0"/>
          <w:numId w:val="5"/>
        </w:numPr>
        <w:spacing w:before="240" w:after="120" w:line="240" w:lineRule="auto"/>
        <w:ind w:hanging="357"/>
        <w:contextualSpacing w:val="0"/>
        <w:jc w:val="both"/>
        <w:rPr>
          <w:rFonts w:ascii="Corbel" w:hAnsi="Corbel"/>
          <w:sz w:val="22"/>
          <w:szCs w:val="22"/>
        </w:rPr>
      </w:pPr>
      <w:r w:rsidRPr="00AA4367">
        <w:rPr>
          <w:rFonts w:ascii="Corbel" w:hAnsi="Corbel"/>
          <w:sz w:val="22"/>
          <w:szCs w:val="22"/>
        </w:rPr>
        <w:t>Al igual que otros sectores afectados por la normativa IPPC/ Emisiones Industriales, l</w:t>
      </w:r>
      <w:r w:rsidR="00072B81" w:rsidRPr="00AA4367">
        <w:rPr>
          <w:rFonts w:ascii="Corbel" w:hAnsi="Corbel"/>
          <w:sz w:val="22"/>
          <w:szCs w:val="22"/>
        </w:rPr>
        <w:t xml:space="preserve">os procesos de </w:t>
      </w:r>
      <w:r w:rsidRPr="00AA4367">
        <w:rPr>
          <w:rFonts w:ascii="Corbel" w:hAnsi="Corbel"/>
          <w:sz w:val="22"/>
          <w:szCs w:val="22"/>
        </w:rPr>
        <w:t>fabricación</w:t>
      </w:r>
      <w:r w:rsidR="00072B81" w:rsidRPr="00AA4367">
        <w:rPr>
          <w:rFonts w:ascii="Corbel" w:hAnsi="Corbel"/>
          <w:sz w:val="22"/>
          <w:szCs w:val="22"/>
        </w:rPr>
        <w:t xml:space="preserve"> del vidrio </w:t>
      </w:r>
      <w:r w:rsidRPr="00AA4367">
        <w:rPr>
          <w:rFonts w:ascii="Corbel" w:hAnsi="Corbel"/>
          <w:sz w:val="22"/>
          <w:szCs w:val="22"/>
        </w:rPr>
        <w:t xml:space="preserve">tienen unas </w:t>
      </w:r>
      <w:r w:rsidRPr="00502398">
        <w:rPr>
          <w:rFonts w:ascii="Corbel" w:hAnsi="Corbel"/>
          <w:sz w:val="22"/>
          <w:szCs w:val="22"/>
          <w:u w:val="single"/>
        </w:rPr>
        <w:t xml:space="preserve">peculiaridades </w:t>
      </w:r>
      <w:r w:rsidR="00502398" w:rsidRPr="00502398">
        <w:rPr>
          <w:rFonts w:ascii="Corbel" w:hAnsi="Corbel"/>
          <w:sz w:val="22"/>
          <w:szCs w:val="22"/>
          <w:u w:val="single"/>
        </w:rPr>
        <w:t xml:space="preserve">de necesaria </w:t>
      </w:r>
      <w:r w:rsidRPr="00502398">
        <w:rPr>
          <w:rFonts w:ascii="Corbel" w:hAnsi="Corbel"/>
          <w:sz w:val="22"/>
          <w:szCs w:val="22"/>
          <w:u w:val="single"/>
        </w:rPr>
        <w:t>considera</w:t>
      </w:r>
      <w:r w:rsidR="00502398" w:rsidRPr="00502398">
        <w:rPr>
          <w:rFonts w:ascii="Corbel" w:hAnsi="Corbel"/>
          <w:sz w:val="22"/>
          <w:szCs w:val="22"/>
          <w:u w:val="single"/>
        </w:rPr>
        <w:t>ción</w:t>
      </w:r>
      <w:r w:rsidRPr="00502398">
        <w:rPr>
          <w:rFonts w:ascii="Corbel" w:hAnsi="Corbel"/>
          <w:sz w:val="22"/>
          <w:szCs w:val="22"/>
          <w:u w:val="single"/>
        </w:rPr>
        <w:t xml:space="preserve"> a la hora de definir las condiciones de la Autorización Ambiental Integrada</w:t>
      </w:r>
      <w:r>
        <w:rPr>
          <w:rFonts w:ascii="Corbel" w:hAnsi="Corbel"/>
          <w:sz w:val="22"/>
          <w:szCs w:val="22"/>
        </w:rPr>
        <w:t xml:space="preserve"> (</w:t>
      </w:r>
      <w:r w:rsidRPr="00502398">
        <w:rPr>
          <w:rFonts w:ascii="Corbel" w:hAnsi="Corbel"/>
          <w:i/>
          <w:sz w:val="22"/>
          <w:szCs w:val="22"/>
        </w:rPr>
        <w:t>no incluidas específicamente en el marco de BREF sectorial</w:t>
      </w:r>
      <w:r>
        <w:rPr>
          <w:rFonts w:ascii="Corbel" w:hAnsi="Corbel"/>
          <w:sz w:val="22"/>
          <w:szCs w:val="22"/>
        </w:rPr>
        <w:t>)</w:t>
      </w:r>
      <w:r w:rsidRPr="00AA4367">
        <w:rPr>
          <w:rFonts w:ascii="Corbel" w:hAnsi="Corbel"/>
          <w:sz w:val="22"/>
          <w:szCs w:val="22"/>
        </w:rPr>
        <w:t xml:space="preserve"> que se podrían resumir en :</w:t>
      </w:r>
    </w:p>
    <w:p w:rsidR="00B27317" w:rsidRPr="00502398" w:rsidRDefault="00AA4367" w:rsidP="005216A0">
      <w:pPr>
        <w:pStyle w:val="Prrafodelista"/>
        <w:numPr>
          <w:ilvl w:val="0"/>
          <w:numId w:val="6"/>
        </w:numPr>
        <w:spacing w:before="240" w:after="120" w:line="240" w:lineRule="auto"/>
        <w:ind w:hanging="357"/>
        <w:contextualSpacing w:val="0"/>
        <w:jc w:val="both"/>
        <w:rPr>
          <w:rFonts w:ascii="Corbel" w:hAnsi="Corbel"/>
          <w:b/>
          <w:color w:val="006600"/>
          <w:sz w:val="22"/>
          <w:szCs w:val="22"/>
        </w:rPr>
      </w:pPr>
      <w:r w:rsidRPr="00502398">
        <w:rPr>
          <w:rFonts w:ascii="Corbel" w:hAnsi="Corbel"/>
          <w:b/>
          <w:color w:val="006600"/>
          <w:sz w:val="22"/>
          <w:szCs w:val="22"/>
        </w:rPr>
        <w:t xml:space="preserve">Los procesos de fabricación de vidrio son </w:t>
      </w:r>
      <w:r w:rsidR="00502398" w:rsidRPr="00502398">
        <w:rPr>
          <w:rFonts w:ascii="Corbel" w:hAnsi="Corbel"/>
          <w:b/>
          <w:color w:val="006600"/>
          <w:sz w:val="22"/>
          <w:szCs w:val="22"/>
        </w:rPr>
        <w:t>r</w:t>
      </w:r>
      <w:r w:rsidRPr="00502398">
        <w:rPr>
          <w:rFonts w:ascii="Corbel" w:hAnsi="Corbel"/>
          <w:b/>
          <w:color w:val="006600"/>
          <w:sz w:val="22"/>
          <w:szCs w:val="22"/>
        </w:rPr>
        <w:t xml:space="preserve">elativamente similares </w:t>
      </w:r>
    </w:p>
    <w:p w:rsidR="00AA4367" w:rsidRPr="00502398" w:rsidRDefault="00AA4367" w:rsidP="005216A0">
      <w:pPr>
        <w:pStyle w:val="Prrafodelista"/>
        <w:numPr>
          <w:ilvl w:val="0"/>
          <w:numId w:val="6"/>
        </w:numPr>
        <w:spacing w:before="240" w:after="120" w:line="240" w:lineRule="auto"/>
        <w:ind w:hanging="357"/>
        <w:contextualSpacing w:val="0"/>
        <w:jc w:val="both"/>
        <w:rPr>
          <w:rFonts w:ascii="Corbel" w:hAnsi="Corbel"/>
          <w:color w:val="006600"/>
          <w:sz w:val="22"/>
          <w:szCs w:val="22"/>
        </w:rPr>
      </w:pPr>
      <w:r w:rsidRPr="00502398">
        <w:rPr>
          <w:rFonts w:ascii="Corbel" w:hAnsi="Corbel"/>
          <w:b/>
          <w:color w:val="006600"/>
          <w:sz w:val="22"/>
          <w:szCs w:val="22"/>
        </w:rPr>
        <w:t>Las emisiones a la atmosfera están condicionadas por la edad de los hornos</w:t>
      </w:r>
      <w:r w:rsidRPr="00502398">
        <w:rPr>
          <w:rFonts w:ascii="Corbel" w:hAnsi="Corbel"/>
          <w:color w:val="006600"/>
          <w:sz w:val="22"/>
          <w:szCs w:val="22"/>
        </w:rPr>
        <w:t xml:space="preserve">. Esta edad de los hornos de fusión </w:t>
      </w:r>
      <w:r w:rsidR="00502398" w:rsidRPr="00502398">
        <w:rPr>
          <w:rFonts w:ascii="Corbel" w:hAnsi="Corbel"/>
          <w:color w:val="006600"/>
          <w:sz w:val="22"/>
          <w:szCs w:val="22"/>
        </w:rPr>
        <w:t>caracteriza</w:t>
      </w:r>
      <w:r w:rsidR="00502398">
        <w:rPr>
          <w:rFonts w:ascii="Corbel" w:hAnsi="Corbel"/>
          <w:color w:val="006600"/>
          <w:sz w:val="22"/>
          <w:szCs w:val="22"/>
        </w:rPr>
        <w:t>,</w:t>
      </w:r>
      <w:r w:rsidR="00502398" w:rsidRPr="00502398">
        <w:rPr>
          <w:rFonts w:ascii="Corbel" w:hAnsi="Corbel"/>
          <w:color w:val="006600"/>
          <w:sz w:val="22"/>
          <w:szCs w:val="22"/>
        </w:rPr>
        <w:t xml:space="preserve"> </w:t>
      </w:r>
      <w:r w:rsidRPr="00502398">
        <w:rPr>
          <w:rFonts w:ascii="Corbel" w:hAnsi="Corbel"/>
          <w:color w:val="006600"/>
          <w:sz w:val="22"/>
          <w:szCs w:val="22"/>
        </w:rPr>
        <w:t>a su vez</w:t>
      </w:r>
      <w:r w:rsidR="00502398">
        <w:rPr>
          <w:rFonts w:ascii="Corbel" w:hAnsi="Corbel"/>
          <w:color w:val="006600"/>
          <w:sz w:val="22"/>
          <w:szCs w:val="22"/>
        </w:rPr>
        <w:t>,</w:t>
      </w:r>
      <w:r w:rsidRPr="00502398">
        <w:rPr>
          <w:rFonts w:ascii="Corbel" w:hAnsi="Corbel"/>
          <w:color w:val="006600"/>
          <w:sz w:val="22"/>
          <w:szCs w:val="22"/>
        </w:rPr>
        <w:t xml:space="preserve"> las necesidades de mantenimiento y paradas programadas necesarias para garantizar la operatividad de la planta. </w:t>
      </w:r>
    </w:p>
    <w:p w:rsidR="00B27317" w:rsidRPr="00502398" w:rsidRDefault="00AA4367" w:rsidP="005216A0">
      <w:pPr>
        <w:pStyle w:val="Prrafodelista"/>
        <w:numPr>
          <w:ilvl w:val="0"/>
          <w:numId w:val="6"/>
        </w:numPr>
        <w:spacing w:before="240" w:after="120" w:line="240" w:lineRule="auto"/>
        <w:ind w:hanging="357"/>
        <w:contextualSpacing w:val="0"/>
        <w:jc w:val="both"/>
        <w:rPr>
          <w:rFonts w:ascii="Corbel" w:hAnsi="Corbel"/>
          <w:color w:val="006600"/>
          <w:sz w:val="22"/>
          <w:szCs w:val="22"/>
        </w:rPr>
      </w:pPr>
      <w:r w:rsidRPr="00502398">
        <w:rPr>
          <w:rFonts w:ascii="Corbel" w:hAnsi="Corbel"/>
          <w:color w:val="006600"/>
          <w:sz w:val="22"/>
          <w:szCs w:val="22"/>
        </w:rPr>
        <w:t xml:space="preserve">La </w:t>
      </w:r>
      <w:r w:rsidRPr="00502398">
        <w:rPr>
          <w:rFonts w:ascii="Corbel" w:hAnsi="Corbel"/>
          <w:b/>
          <w:color w:val="006600"/>
          <w:sz w:val="22"/>
          <w:szCs w:val="22"/>
        </w:rPr>
        <w:t xml:space="preserve">frecuencia </w:t>
      </w:r>
      <w:r w:rsidR="005308E8" w:rsidRPr="00502398">
        <w:rPr>
          <w:rFonts w:ascii="Corbel" w:hAnsi="Corbel"/>
          <w:b/>
          <w:color w:val="006600"/>
          <w:sz w:val="22"/>
          <w:szCs w:val="22"/>
        </w:rPr>
        <w:t>de situaciones distintas a las normales</w:t>
      </w:r>
      <w:r w:rsidR="005308E8" w:rsidRPr="00502398">
        <w:rPr>
          <w:rFonts w:ascii="Corbel" w:hAnsi="Corbel"/>
          <w:color w:val="006600"/>
          <w:sz w:val="22"/>
          <w:szCs w:val="22"/>
        </w:rPr>
        <w:t xml:space="preserve"> </w:t>
      </w:r>
      <w:r w:rsidRPr="00502398">
        <w:rPr>
          <w:rFonts w:ascii="Corbel" w:hAnsi="Corbel"/>
          <w:color w:val="006600"/>
          <w:sz w:val="22"/>
          <w:szCs w:val="22"/>
        </w:rPr>
        <w:t xml:space="preserve">del proceso en relación con los mantenimientos </w:t>
      </w:r>
      <w:r w:rsidRPr="00502398">
        <w:rPr>
          <w:rFonts w:ascii="Corbel" w:hAnsi="Corbel"/>
          <w:b/>
          <w:color w:val="006600"/>
          <w:sz w:val="22"/>
          <w:szCs w:val="22"/>
        </w:rPr>
        <w:t>se incrementa con la edad de los hornos</w:t>
      </w:r>
      <w:r w:rsidR="005308E8" w:rsidRPr="00502398">
        <w:rPr>
          <w:rFonts w:ascii="Corbel" w:hAnsi="Corbel"/>
          <w:color w:val="006600"/>
          <w:sz w:val="22"/>
          <w:szCs w:val="22"/>
        </w:rPr>
        <w:t xml:space="preserve">. </w:t>
      </w:r>
    </w:p>
    <w:p w:rsidR="004B3B93" w:rsidRDefault="00502398" w:rsidP="004B3B93">
      <w:pPr>
        <w:spacing w:line="240" w:lineRule="auto"/>
        <w:ind w:left="360"/>
        <w:jc w:val="both"/>
        <w:rPr>
          <w:rFonts w:ascii="Corbel" w:hAnsi="Corbel"/>
          <w:sz w:val="22"/>
          <w:szCs w:val="22"/>
        </w:rPr>
      </w:pPr>
      <w:r>
        <w:rPr>
          <w:rFonts w:ascii="Corbel" w:hAnsi="Corbel"/>
          <w:sz w:val="22"/>
          <w:szCs w:val="22"/>
        </w:rPr>
        <w:t>Desde Vidrio España</w:t>
      </w:r>
      <w:r w:rsidR="004B3B93" w:rsidRPr="00BA3DB8">
        <w:rPr>
          <w:rFonts w:ascii="Corbel" w:hAnsi="Corbel"/>
          <w:sz w:val="22"/>
          <w:szCs w:val="22"/>
        </w:rPr>
        <w:t xml:space="preserve"> se consideró relevante analizar en detalle los requisitos que la implantación de estas condiciones de funcionamiento implicará para el sector. De este modo, se han preparado dos documentos de trabajo (</w:t>
      </w:r>
      <w:r w:rsidR="004B3B93" w:rsidRPr="00572E42">
        <w:rPr>
          <w:rFonts w:ascii="Corbel" w:hAnsi="Corbel"/>
          <w:i/>
          <w:sz w:val="22"/>
          <w:szCs w:val="22"/>
        </w:rPr>
        <w:t xml:space="preserve">subsectores fabricación de </w:t>
      </w:r>
      <w:r w:rsidR="004B3B93" w:rsidRPr="00572E42">
        <w:rPr>
          <w:rFonts w:ascii="Corbel" w:hAnsi="Corbel"/>
          <w:i/>
          <w:sz w:val="22"/>
          <w:szCs w:val="22"/>
          <w:u w:val="single"/>
        </w:rPr>
        <w:t>envases de vidrio</w:t>
      </w:r>
      <w:r w:rsidR="004B3B93" w:rsidRPr="00572E42">
        <w:rPr>
          <w:rFonts w:ascii="Corbel" w:hAnsi="Corbel"/>
          <w:i/>
          <w:sz w:val="22"/>
          <w:szCs w:val="22"/>
        </w:rPr>
        <w:t xml:space="preserve"> y fabricación de </w:t>
      </w:r>
      <w:r w:rsidR="004B3B93" w:rsidRPr="00572E42">
        <w:rPr>
          <w:rFonts w:ascii="Corbel" w:hAnsi="Corbel"/>
          <w:i/>
          <w:sz w:val="22"/>
          <w:szCs w:val="22"/>
          <w:u w:val="single"/>
        </w:rPr>
        <w:t>vidrio plano</w:t>
      </w:r>
      <w:r w:rsidR="004B3B93" w:rsidRPr="00BA3DB8">
        <w:rPr>
          <w:rFonts w:ascii="Corbel" w:hAnsi="Corbel"/>
          <w:sz w:val="22"/>
          <w:szCs w:val="22"/>
        </w:rPr>
        <w:t>) que intentan recopilar las especificidades del sector en relación con las directrices fijadas en el documento B</w:t>
      </w:r>
      <w:r w:rsidR="004B3B93">
        <w:rPr>
          <w:rFonts w:ascii="Corbel" w:hAnsi="Corbel"/>
          <w:sz w:val="22"/>
          <w:szCs w:val="22"/>
        </w:rPr>
        <w:t>REF</w:t>
      </w:r>
      <w:r w:rsidR="004B3B93" w:rsidRPr="00BA3DB8">
        <w:rPr>
          <w:rFonts w:ascii="Corbel" w:hAnsi="Corbel"/>
          <w:sz w:val="22"/>
          <w:szCs w:val="22"/>
        </w:rPr>
        <w:t xml:space="preserve"> sectorial y la realidad operacional de las plantas.</w:t>
      </w:r>
      <w:r w:rsidR="004B3B93">
        <w:rPr>
          <w:rFonts w:ascii="Corbel" w:hAnsi="Corbel"/>
          <w:sz w:val="22"/>
          <w:szCs w:val="22"/>
        </w:rPr>
        <w:t xml:space="preserve"> Este ha sido uno de los objetivos de redacción de los documentos de trabajo de la</w:t>
      </w:r>
      <w:r w:rsidR="00572E42">
        <w:rPr>
          <w:rFonts w:ascii="Corbel" w:hAnsi="Corbel"/>
          <w:sz w:val="22"/>
          <w:szCs w:val="22"/>
        </w:rPr>
        <w:t>s</w:t>
      </w:r>
      <w:r w:rsidR="004B3B93">
        <w:rPr>
          <w:rFonts w:ascii="Corbel" w:hAnsi="Corbel"/>
          <w:sz w:val="22"/>
          <w:szCs w:val="22"/>
        </w:rPr>
        <w:t xml:space="preserve"> Guías, </w:t>
      </w:r>
      <w:r w:rsidR="00572E42">
        <w:rPr>
          <w:rFonts w:ascii="Corbel" w:hAnsi="Corbel"/>
          <w:sz w:val="22"/>
          <w:szCs w:val="22"/>
        </w:rPr>
        <w:t>en las que</w:t>
      </w:r>
      <w:r w:rsidR="004B3B93">
        <w:rPr>
          <w:rFonts w:ascii="Corbel" w:hAnsi="Corbel"/>
          <w:sz w:val="22"/>
          <w:szCs w:val="22"/>
        </w:rPr>
        <w:t xml:space="preserve"> se intentan plasmar aquellas variables de proceso y operación de las plantas que directa/indirectamente con</w:t>
      </w:r>
      <w:r w:rsidR="00572E42">
        <w:rPr>
          <w:rFonts w:ascii="Corbel" w:hAnsi="Corbel"/>
          <w:sz w:val="22"/>
          <w:szCs w:val="22"/>
        </w:rPr>
        <w:t>dicionan las emisiones a la atmó</w:t>
      </w:r>
      <w:r w:rsidR="004B3B93">
        <w:rPr>
          <w:rFonts w:ascii="Corbel" w:hAnsi="Corbel"/>
          <w:sz w:val="22"/>
          <w:szCs w:val="22"/>
        </w:rPr>
        <w:t>sfera.</w:t>
      </w:r>
    </w:p>
    <w:p w:rsidR="00511368" w:rsidRDefault="00511368" w:rsidP="004B3B93">
      <w:pPr>
        <w:pStyle w:val="Prrafodelista"/>
        <w:numPr>
          <w:ilvl w:val="0"/>
          <w:numId w:val="5"/>
        </w:numPr>
        <w:spacing w:line="240" w:lineRule="auto"/>
        <w:jc w:val="both"/>
        <w:rPr>
          <w:rFonts w:ascii="Corbel" w:hAnsi="Corbel"/>
          <w:sz w:val="22"/>
          <w:szCs w:val="22"/>
        </w:rPr>
      </w:pPr>
      <w:r w:rsidRPr="003D4B08">
        <w:rPr>
          <w:rFonts w:ascii="Corbel" w:hAnsi="Corbel"/>
          <w:sz w:val="22"/>
          <w:szCs w:val="22"/>
          <w:u w:val="single"/>
        </w:rPr>
        <w:t xml:space="preserve">En el foro de la jornada se identificó la limitación que supone en muchos casos el cumplimiento de las medidas indicadas en el BREF del vidrio en relación </w:t>
      </w:r>
      <w:r w:rsidR="00CF5D0D" w:rsidRPr="003D4B08">
        <w:rPr>
          <w:rFonts w:ascii="Corbel" w:hAnsi="Corbel"/>
          <w:sz w:val="22"/>
          <w:szCs w:val="22"/>
          <w:u w:val="single"/>
        </w:rPr>
        <w:t>con los plazos</w:t>
      </w:r>
      <w:r w:rsidR="00CF5D0D">
        <w:rPr>
          <w:rFonts w:ascii="Corbel" w:hAnsi="Corbel"/>
          <w:sz w:val="22"/>
          <w:szCs w:val="22"/>
        </w:rPr>
        <w:t xml:space="preserve">. </w:t>
      </w:r>
      <w:r w:rsidR="003D4B08">
        <w:rPr>
          <w:rFonts w:ascii="Corbel" w:hAnsi="Corbel"/>
          <w:sz w:val="22"/>
          <w:szCs w:val="22"/>
        </w:rPr>
        <w:t>C</w:t>
      </w:r>
      <w:r w:rsidR="00CF5D0D">
        <w:rPr>
          <w:rFonts w:ascii="Corbel" w:hAnsi="Corbel"/>
          <w:sz w:val="22"/>
          <w:szCs w:val="22"/>
        </w:rPr>
        <w:t>umplir con las necesidades de implantación de las Mejores Técnicas Disponibles (MTDs) para marzo del 2016 en muchos casos no ha coincidido con los planes de inversión en las plantas del vidrio; planes de  inversión significativos que se realizan a medio/largo plazo. Se consideró la posibilidad de analizar en detalle este aspecto con el Ministerio y la Comisión Europea para tratar la posibilidad de evaluar esta casuística y cumplir con los plazos con de aplicación</w:t>
      </w:r>
      <w:r w:rsidR="003D4B08">
        <w:rPr>
          <w:rFonts w:ascii="Corbel" w:hAnsi="Corbel"/>
          <w:sz w:val="22"/>
          <w:szCs w:val="22"/>
        </w:rPr>
        <w:t>.</w:t>
      </w:r>
      <w:r w:rsidR="00CF5D0D">
        <w:rPr>
          <w:rFonts w:ascii="Corbel" w:hAnsi="Corbel"/>
          <w:sz w:val="22"/>
          <w:szCs w:val="22"/>
        </w:rPr>
        <w:t xml:space="preserve"> </w:t>
      </w:r>
    </w:p>
    <w:p w:rsidR="005216A0" w:rsidRDefault="004B3B93" w:rsidP="004B3B93">
      <w:pPr>
        <w:pStyle w:val="Prrafodelista"/>
        <w:numPr>
          <w:ilvl w:val="0"/>
          <w:numId w:val="5"/>
        </w:numPr>
        <w:spacing w:line="240" w:lineRule="auto"/>
        <w:jc w:val="both"/>
        <w:rPr>
          <w:rFonts w:ascii="Corbel" w:hAnsi="Corbel"/>
          <w:sz w:val="22"/>
          <w:szCs w:val="22"/>
        </w:rPr>
      </w:pPr>
      <w:r w:rsidRPr="004B3B93">
        <w:rPr>
          <w:rFonts w:ascii="Corbel" w:hAnsi="Corbel"/>
          <w:sz w:val="22"/>
          <w:szCs w:val="22"/>
        </w:rPr>
        <w:t>Una vez analizados los retos normativos y las pecul</w:t>
      </w:r>
      <w:r w:rsidR="00696C69">
        <w:rPr>
          <w:rFonts w:ascii="Corbel" w:hAnsi="Corbel"/>
          <w:sz w:val="22"/>
          <w:szCs w:val="22"/>
        </w:rPr>
        <w:t xml:space="preserve">iaridades del sector, se analizaron </w:t>
      </w:r>
      <w:r w:rsidR="00696C69" w:rsidRPr="00696C69">
        <w:rPr>
          <w:rFonts w:ascii="Corbel" w:hAnsi="Corbel"/>
          <w:sz w:val="22"/>
          <w:szCs w:val="22"/>
          <w:u w:val="single"/>
        </w:rPr>
        <w:t>qué</w:t>
      </w:r>
      <w:r w:rsidRPr="00696C69">
        <w:rPr>
          <w:rFonts w:ascii="Corbel" w:hAnsi="Corbel"/>
          <w:sz w:val="22"/>
          <w:szCs w:val="22"/>
          <w:u w:val="single"/>
        </w:rPr>
        <w:t xml:space="preserve"> mecanismos se pueden considerar a la hora de monitorización las emisiones a la atmosfera del proceso de fabricación del vidrio</w:t>
      </w:r>
      <w:r w:rsidRPr="004B3B93">
        <w:rPr>
          <w:rFonts w:ascii="Corbel" w:hAnsi="Corbel"/>
          <w:sz w:val="22"/>
          <w:szCs w:val="22"/>
        </w:rPr>
        <w:t>. Se trasladaron al foro dos experiencias llevadas a cabo durante los últimos años que</w:t>
      </w:r>
      <w:r>
        <w:rPr>
          <w:rFonts w:ascii="Corbel" w:hAnsi="Corbel"/>
          <w:sz w:val="22"/>
          <w:szCs w:val="22"/>
        </w:rPr>
        <w:t xml:space="preserve"> </w:t>
      </w:r>
      <w:r w:rsidRPr="004B3B93">
        <w:rPr>
          <w:rFonts w:ascii="Corbel" w:hAnsi="Corbel"/>
          <w:sz w:val="22"/>
          <w:szCs w:val="22"/>
        </w:rPr>
        <w:t xml:space="preserve">ofrecen argumentos prácticos sobre las consideraciones ya indicadas: Para ello se contó con las </w:t>
      </w:r>
      <w:r w:rsidR="00696C69">
        <w:rPr>
          <w:rFonts w:ascii="Corbel" w:hAnsi="Corbel"/>
          <w:sz w:val="22"/>
          <w:szCs w:val="22"/>
        </w:rPr>
        <w:t>ponencias</w:t>
      </w:r>
      <w:r w:rsidRPr="004B3B93">
        <w:rPr>
          <w:rFonts w:ascii="Corbel" w:hAnsi="Corbel"/>
          <w:sz w:val="22"/>
          <w:szCs w:val="22"/>
        </w:rPr>
        <w:t xml:space="preserve"> de la GENERALITAT DE CATALUNYA y STAZIONE SPERIMENTALE DEL VETRO</w:t>
      </w:r>
      <w:r>
        <w:rPr>
          <w:rFonts w:ascii="Corbel" w:hAnsi="Corbel"/>
          <w:sz w:val="22"/>
          <w:szCs w:val="22"/>
        </w:rPr>
        <w:t xml:space="preserve">. </w:t>
      </w:r>
    </w:p>
    <w:p w:rsidR="004B3B93" w:rsidRDefault="004B3B93" w:rsidP="005216A0">
      <w:pPr>
        <w:spacing w:line="240" w:lineRule="auto"/>
        <w:ind w:left="360"/>
        <w:jc w:val="both"/>
        <w:rPr>
          <w:rFonts w:ascii="Corbel" w:hAnsi="Corbel"/>
          <w:sz w:val="22"/>
          <w:szCs w:val="22"/>
        </w:rPr>
      </w:pPr>
      <w:r w:rsidRPr="005216A0">
        <w:rPr>
          <w:rFonts w:ascii="Corbel" w:hAnsi="Corbel"/>
          <w:sz w:val="22"/>
          <w:szCs w:val="22"/>
        </w:rPr>
        <w:t>A continuación se resumen algunos de los aspectos contrastados durante la jornada:</w:t>
      </w:r>
    </w:p>
    <w:p w:rsidR="00696C69" w:rsidRDefault="00696C69">
      <w:pPr>
        <w:rPr>
          <w:rFonts w:ascii="Corbel" w:hAnsi="Corbel"/>
          <w:sz w:val="22"/>
          <w:szCs w:val="22"/>
        </w:rPr>
      </w:pPr>
      <w:r>
        <w:rPr>
          <w:rFonts w:ascii="Corbel" w:hAnsi="Corbel"/>
          <w:sz w:val="22"/>
          <w:szCs w:val="22"/>
        </w:rPr>
        <w:br w:type="page"/>
      </w:r>
    </w:p>
    <w:p w:rsidR="00696C69" w:rsidRPr="005216A0" w:rsidRDefault="00696C69" w:rsidP="005216A0">
      <w:pPr>
        <w:spacing w:line="240" w:lineRule="auto"/>
        <w:ind w:left="360"/>
        <w:jc w:val="both"/>
        <w:rPr>
          <w:rFonts w:ascii="Corbel" w:hAnsi="Corbel"/>
          <w:sz w:val="22"/>
          <w:szCs w:val="22"/>
        </w:rPr>
      </w:pPr>
    </w:p>
    <w:p w:rsidR="00F10728" w:rsidRPr="00696C69" w:rsidRDefault="005216A0" w:rsidP="00F10728">
      <w:pPr>
        <w:pStyle w:val="Prrafodelista"/>
        <w:numPr>
          <w:ilvl w:val="1"/>
          <w:numId w:val="5"/>
        </w:numPr>
        <w:spacing w:before="240" w:line="240" w:lineRule="auto"/>
        <w:ind w:left="1077" w:hanging="357"/>
        <w:contextualSpacing w:val="0"/>
        <w:jc w:val="both"/>
        <w:rPr>
          <w:rFonts w:ascii="Corbel" w:hAnsi="Corbel"/>
          <w:sz w:val="22"/>
          <w:szCs w:val="22"/>
        </w:rPr>
      </w:pPr>
      <w:r w:rsidRPr="00696C69">
        <w:rPr>
          <w:rFonts w:ascii="Corbel" w:hAnsi="Corbel"/>
          <w:sz w:val="22"/>
          <w:szCs w:val="22"/>
        </w:rPr>
        <w:t xml:space="preserve">Durante los últimos años se ha </w:t>
      </w:r>
      <w:r w:rsidR="002C5B63" w:rsidRPr="00696C69">
        <w:rPr>
          <w:rFonts w:ascii="Corbel" w:hAnsi="Corbel"/>
          <w:sz w:val="22"/>
          <w:szCs w:val="22"/>
        </w:rPr>
        <w:t>trabajo</w:t>
      </w:r>
      <w:r w:rsidRPr="00696C69">
        <w:rPr>
          <w:rFonts w:ascii="Corbel" w:hAnsi="Corbel"/>
          <w:sz w:val="22"/>
          <w:szCs w:val="22"/>
        </w:rPr>
        <w:t xml:space="preserve"> intensamente en la definición de </w:t>
      </w:r>
      <w:r w:rsidR="002C5B63" w:rsidRPr="00696C69">
        <w:rPr>
          <w:rFonts w:ascii="Corbel" w:hAnsi="Corbel"/>
          <w:sz w:val="22"/>
          <w:szCs w:val="22"/>
        </w:rPr>
        <w:t>instrucciones técnicas detalladas que den respuesta a las necesidades de calidad de la información y cumplimiento de la normativa aplicable  en materia de control de emisiones.</w:t>
      </w:r>
      <w:r w:rsidR="00D76F93" w:rsidRPr="00696C69">
        <w:rPr>
          <w:rFonts w:ascii="Corbel" w:hAnsi="Corbel"/>
          <w:sz w:val="22"/>
          <w:szCs w:val="22"/>
        </w:rPr>
        <w:t xml:space="preserve"> Se trata de un desarrollo metodológico minucioso que intenta maximizar </w:t>
      </w:r>
      <w:r w:rsidR="00511368" w:rsidRPr="00696C69">
        <w:rPr>
          <w:rFonts w:ascii="Corbel" w:hAnsi="Corbel"/>
          <w:sz w:val="22"/>
          <w:szCs w:val="22"/>
        </w:rPr>
        <w:t>a la</w:t>
      </w:r>
      <w:r w:rsidR="00D76F93" w:rsidRPr="00696C69">
        <w:rPr>
          <w:rFonts w:ascii="Corbel" w:hAnsi="Corbel"/>
          <w:sz w:val="22"/>
          <w:szCs w:val="22"/>
        </w:rPr>
        <w:t xml:space="preserve"> calidad de la información.</w:t>
      </w:r>
    </w:p>
    <w:p w:rsidR="002C5B63" w:rsidRPr="00E06B7A" w:rsidRDefault="002C5B63" w:rsidP="00E06B7A">
      <w:pPr>
        <w:spacing w:before="240" w:line="240" w:lineRule="auto"/>
        <w:ind w:left="1077"/>
        <w:jc w:val="both"/>
        <w:rPr>
          <w:rFonts w:ascii="Corbel" w:hAnsi="Corbel"/>
          <w:sz w:val="22"/>
          <w:szCs w:val="22"/>
        </w:rPr>
      </w:pPr>
      <w:r w:rsidRPr="00E06B7A">
        <w:rPr>
          <w:rFonts w:ascii="Corbel" w:hAnsi="Corbel"/>
          <w:sz w:val="22"/>
          <w:szCs w:val="22"/>
        </w:rPr>
        <w:t>Una vez analizada la Guía del vidrio y en base a la experiencia sobre los sistemas de monitorización en continuo se</w:t>
      </w:r>
      <w:r w:rsidR="00F10728">
        <w:rPr>
          <w:rFonts w:ascii="Corbel" w:hAnsi="Corbel"/>
          <w:sz w:val="22"/>
          <w:szCs w:val="22"/>
        </w:rPr>
        <w:t xml:space="preserve"> identifican dos aspectos</w:t>
      </w:r>
      <w:r w:rsidRPr="00E06B7A">
        <w:rPr>
          <w:rFonts w:ascii="Corbel" w:hAnsi="Corbel"/>
          <w:sz w:val="22"/>
          <w:szCs w:val="22"/>
        </w:rPr>
        <w:t>:</w:t>
      </w:r>
    </w:p>
    <w:p w:rsidR="004B3B93" w:rsidRDefault="002C5B63" w:rsidP="002C5B63">
      <w:pPr>
        <w:pStyle w:val="Prrafodelista"/>
        <w:numPr>
          <w:ilvl w:val="2"/>
          <w:numId w:val="5"/>
        </w:numPr>
        <w:spacing w:before="240" w:line="240" w:lineRule="auto"/>
        <w:contextualSpacing w:val="0"/>
        <w:jc w:val="both"/>
        <w:rPr>
          <w:rFonts w:ascii="Corbel" w:hAnsi="Corbel"/>
          <w:sz w:val="22"/>
          <w:szCs w:val="22"/>
        </w:rPr>
      </w:pPr>
      <w:r w:rsidRPr="002C5B63">
        <w:rPr>
          <w:rFonts w:ascii="Corbel" w:hAnsi="Corbel"/>
          <w:sz w:val="22"/>
          <w:szCs w:val="22"/>
          <w:u w:val="single"/>
        </w:rPr>
        <w:t>Aplicabilidad norma UNE14181</w:t>
      </w:r>
      <w:r>
        <w:rPr>
          <w:rFonts w:ascii="Corbel" w:hAnsi="Corbel"/>
          <w:sz w:val="22"/>
          <w:szCs w:val="22"/>
        </w:rPr>
        <w:t>. Es posible el</w:t>
      </w:r>
      <w:r w:rsidR="004B3B93">
        <w:rPr>
          <w:rFonts w:ascii="Corbel" w:hAnsi="Corbel"/>
          <w:sz w:val="22"/>
          <w:szCs w:val="22"/>
        </w:rPr>
        <w:t xml:space="preserve"> </w:t>
      </w:r>
      <w:r w:rsidR="005216A0">
        <w:rPr>
          <w:rFonts w:ascii="Corbel" w:hAnsi="Corbel"/>
          <w:sz w:val="22"/>
          <w:szCs w:val="22"/>
        </w:rPr>
        <w:t>analizar</w:t>
      </w:r>
      <w:r w:rsidR="00750A0C">
        <w:rPr>
          <w:rFonts w:ascii="Corbel" w:hAnsi="Corbel"/>
          <w:sz w:val="22"/>
          <w:szCs w:val="22"/>
        </w:rPr>
        <w:t xml:space="preserve"> en detalle la aplicación de esta</w:t>
      </w:r>
      <w:r w:rsidR="004B3B93">
        <w:rPr>
          <w:rFonts w:ascii="Corbel" w:hAnsi="Corbel"/>
          <w:sz w:val="22"/>
          <w:szCs w:val="22"/>
        </w:rPr>
        <w:t xml:space="preserve"> norma para el sector del vidrio</w:t>
      </w:r>
      <w:r w:rsidR="005216A0">
        <w:rPr>
          <w:rFonts w:ascii="Corbel" w:hAnsi="Corbel"/>
          <w:sz w:val="22"/>
          <w:szCs w:val="22"/>
        </w:rPr>
        <w:t xml:space="preserve"> en relación con las frecuencias y características de medición.</w:t>
      </w:r>
    </w:p>
    <w:p w:rsidR="005216A0" w:rsidRDefault="002C5B63" w:rsidP="002C5B63">
      <w:pPr>
        <w:pStyle w:val="Prrafodelista"/>
        <w:numPr>
          <w:ilvl w:val="2"/>
          <w:numId w:val="5"/>
        </w:numPr>
        <w:spacing w:before="240" w:line="240" w:lineRule="auto"/>
        <w:contextualSpacing w:val="0"/>
        <w:jc w:val="both"/>
        <w:rPr>
          <w:rFonts w:ascii="Corbel" w:hAnsi="Corbel"/>
          <w:sz w:val="22"/>
          <w:szCs w:val="22"/>
        </w:rPr>
      </w:pPr>
      <w:r w:rsidRPr="002C5B63">
        <w:rPr>
          <w:rFonts w:ascii="Corbel" w:hAnsi="Corbel"/>
          <w:sz w:val="22"/>
          <w:szCs w:val="22"/>
          <w:u w:val="single"/>
        </w:rPr>
        <w:t>Códigos de validación del dato</w:t>
      </w:r>
      <w:r>
        <w:rPr>
          <w:rFonts w:ascii="Corbel" w:hAnsi="Corbel"/>
          <w:sz w:val="22"/>
          <w:szCs w:val="22"/>
        </w:rPr>
        <w:t xml:space="preserve">. </w:t>
      </w:r>
      <w:r w:rsidR="005216A0">
        <w:rPr>
          <w:rFonts w:ascii="Corbel" w:hAnsi="Corbel"/>
          <w:sz w:val="22"/>
          <w:szCs w:val="22"/>
        </w:rPr>
        <w:t>Dentro de la identificación de códigos de validación de los valores de emisión, parece relevante considerar asp</w:t>
      </w:r>
      <w:r w:rsidR="00F10728" w:rsidRPr="00F10728">
        <w:rPr>
          <w:rFonts w:ascii="Corbel" w:hAnsi="Corbel"/>
          <w:noProof/>
          <w:sz w:val="22"/>
          <w:szCs w:val="22"/>
          <w:lang w:eastAsia="es-ES"/>
        </w:rPr>
        <w:drawing>
          <wp:anchor distT="0" distB="0" distL="114300" distR="114300" simplePos="0" relativeHeight="251662336" behindDoc="1" locked="0" layoutInCell="1" allowOverlap="1">
            <wp:simplePos x="0" y="0"/>
            <wp:positionH relativeFrom="column">
              <wp:posOffset>-1258570</wp:posOffset>
            </wp:positionH>
            <wp:positionV relativeFrom="margin">
              <wp:posOffset>-1156970</wp:posOffset>
            </wp:positionV>
            <wp:extent cx="7917180" cy="11210925"/>
            <wp:effectExtent l="19050" t="0" r="7620" b="0"/>
            <wp:wrapNone/>
            <wp:docPr id="3" name="0 Imagen" descr="fondo_jornadAM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jornadAMagrama.png"/>
                    <pic:cNvPicPr/>
                  </pic:nvPicPr>
                  <pic:blipFill>
                    <a:blip r:embed="rId8" cstate="print"/>
                    <a:stretch>
                      <a:fillRect/>
                    </a:stretch>
                  </pic:blipFill>
                  <pic:spPr>
                    <a:xfrm>
                      <a:off x="0" y="0"/>
                      <a:ext cx="7917180" cy="11210925"/>
                    </a:xfrm>
                    <a:prstGeom prst="rect">
                      <a:avLst/>
                    </a:prstGeom>
                  </pic:spPr>
                </pic:pic>
              </a:graphicData>
            </a:graphic>
          </wp:anchor>
        </w:drawing>
      </w:r>
      <w:r w:rsidR="005216A0">
        <w:rPr>
          <w:rFonts w:ascii="Corbel" w:hAnsi="Corbel"/>
          <w:sz w:val="22"/>
          <w:szCs w:val="22"/>
        </w:rPr>
        <w:t>ectos específicos relacionados</w:t>
      </w:r>
      <w:r w:rsidR="00750A0C">
        <w:rPr>
          <w:rFonts w:ascii="Corbel" w:hAnsi="Corbel"/>
          <w:sz w:val="22"/>
          <w:szCs w:val="22"/>
        </w:rPr>
        <w:t>,</w:t>
      </w:r>
      <w:r w:rsidR="005216A0">
        <w:rPr>
          <w:rFonts w:ascii="Corbel" w:hAnsi="Corbel"/>
          <w:sz w:val="22"/>
          <w:szCs w:val="22"/>
        </w:rPr>
        <w:t xml:space="preserve"> como la operatividad de la fabricación de vidrio</w:t>
      </w:r>
      <w:r w:rsidR="00511368">
        <w:rPr>
          <w:rFonts w:ascii="Corbel" w:hAnsi="Corbel"/>
          <w:sz w:val="22"/>
          <w:szCs w:val="22"/>
        </w:rPr>
        <w:t xml:space="preserve"> como dato “</w:t>
      </w:r>
      <w:r w:rsidR="00511368" w:rsidRPr="00750A0C">
        <w:rPr>
          <w:rFonts w:ascii="Corbel" w:hAnsi="Corbel"/>
          <w:i/>
          <w:sz w:val="22"/>
          <w:szCs w:val="22"/>
        </w:rPr>
        <w:t>valido anómalo</w:t>
      </w:r>
      <w:r w:rsidR="00511368">
        <w:rPr>
          <w:rFonts w:ascii="Corbel" w:hAnsi="Corbel"/>
          <w:sz w:val="22"/>
          <w:szCs w:val="22"/>
        </w:rPr>
        <w:t>”</w:t>
      </w:r>
      <w:r w:rsidR="005216A0">
        <w:rPr>
          <w:rFonts w:ascii="Corbel" w:hAnsi="Corbel"/>
          <w:sz w:val="22"/>
          <w:szCs w:val="22"/>
        </w:rPr>
        <w:t xml:space="preserve"> (</w:t>
      </w:r>
      <w:r w:rsidR="00511368">
        <w:rPr>
          <w:rFonts w:ascii="Corbel" w:hAnsi="Corbel"/>
          <w:sz w:val="22"/>
          <w:szCs w:val="22"/>
        </w:rPr>
        <w:t>ej.</w:t>
      </w:r>
      <w:r w:rsidR="005216A0">
        <w:rPr>
          <w:rFonts w:ascii="Corbel" w:hAnsi="Corbel"/>
          <w:sz w:val="22"/>
          <w:szCs w:val="22"/>
        </w:rPr>
        <w:t xml:space="preserve"> edad de los hornos, paradas por mantenimiento).</w:t>
      </w:r>
    </w:p>
    <w:p w:rsidR="002C5B63" w:rsidRDefault="005216A0" w:rsidP="002C5B63">
      <w:pPr>
        <w:pStyle w:val="Prrafodelista"/>
        <w:numPr>
          <w:ilvl w:val="1"/>
          <w:numId w:val="5"/>
        </w:numPr>
        <w:spacing w:before="240" w:line="240" w:lineRule="auto"/>
        <w:ind w:left="1077" w:hanging="357"/>
        <w:contextualSpacing w:val="0"/>
        <w:jc w:val="both"/>
        <w:rPr>
          <w:rFonts w:ascii="Corbel" w:hAnsi="Corbel"/>
          <w:sz w:val="22"/>
          <w:szCs w:val="22"/>
        </w:rPr>
      </w:pPr>
      <w:r>
        <w:rPr>
          <w:rFonts w:ascii="Corbel" w:hAnsi="Corbel"/>
          <w:sz w:val="22"/>
          <w:szCs w:val="22"/>
        </w:rPr>
        <w:t>La identificación de sit</w:t>
      </w:r>
      <w:r w:rsidR="00750A0C">
        <w:rPr>
          <w:rFonts w:ascii="Corbel" w:hAnsi="Corbel"/>
          <w:sz w:val="22"/>
          <w:szCs w:val="22"/>
        </w:rPr>
        <w:t>uaciones especificas de paradas</w:t>
      </w:r>
      <w:r>
        <w:rPr>
          <w:rFonts w:ascii="Corbel" w:hAnsi="Corbel"/>
          <w:sz w:val="22"/>
          <w:szCs w:val="22"/>
        </w:rPr>
        <w:t>/arranque por mantenimientos de los sistema</w:t>
      </w:r>
      <w:r w:rsidR="00511368">
        <w:rPr>
          <w:rFonts w:ascii="Corbel" w:hAnsi="Corbel"/>
          <w:sz w:val="22"/>
          <w:szCs w:val="22"/>
        </w:rPr>
        <w:t>s</w:t>
      </w:r>
      <w:r>
        <w:rPr>
          <w:rFonts w:ascii="Corbel" w:hAnsi="Corbel"/>
          <w:sz w:val="22"/>
          <w:szCs w:val="22"/>
        </w:rPr>
        <w:t xml:space="preserve"> de depuración / sistemas de medición en la región de Lombardi ha supuesto un gran reto tanto para la </w:t>
      </w:r>
      <w:r w:rsidR="002C5B63">
        <w:rPr>
          <w:rFonts w:ascii="Corbel" w:hAnsi="Corbel"/>
          <w:sz w:val="22"/>
          <w:szCs w:val="22"/>
        </w:rPr>
        <w:t>administración</w:t>
      </w:r>
      <w:r>
        <w:rPr>
          <w:rFonts w:ascii="Corbel" w:hAnsi="Corbel"/>
          <w:sz w:val="22"/>
          <w:szCs w:val="22"/>
        </w:rPr>
        <w:t xml:space="preserve"> como para las empresas del sector</w:t>
      </w:r>
      <w:r w:rsidR="002C5B63">
        <w:rPr>
          <w:rFonts w:ascii="Corbel" w:hAnsi="Corbel"/>
          <w:sz w:val="22"/>
          <w:szCs w:val="22"/>
        </w:rPr>
        <w:t xml:space="preserve">. </w:t>
      </w:r>
    </w:p>
    <w:p w:rsidR="005216A0" w:rsidRDefault="002C5B63" w:rsidP="002C5B63">
      <w:pPr>
        <w:spacing w:before="240" w:line="240" w:lineRule="auto"/>
        <w:ind w:left="1077"/>
        <w:jc w:val="both"/>
        <w:rPr>
          <w:rFonts w:ascii="Corbel" w:hAnsi="Corbel"/>
          <w:sz w:val="22"/>
          <w:szCs w:val="22"/>
        </w:rPr>
      </w:pPr>
      <w:r w:rsidRPr="002C5B63">
        <w:rPr>
          <w:rFonts w:ascii="Corbel" w:hAnsi="Corbel"/>
          <w:sz w:val="22"/>
          <w:szCs w:val="22"/>
        </w:rPr>
        <w:t xml:space="preserve">Este reto, basado en una relación de trabajo técnico entre ambas partes, se </w:t>
      </w:r>
      <w:r w:rsidR="00E06B7A">
        <w:rPr>
          <w:rFonts w:ascii="Corbel" w:hAnsi="Corbel"/>
          <w:sz w:val="22"/>
          <w:szCs w:val="22"/>
        </w:rPr>
        <w:t>consolidó</w:t>
      </w:r>
      <w:r w:rsidRPr="002C5B63">
        <w:rPr>
          <w:rFonts w:ascii="Corbel" w:hAnsi="Corbel"/>
          <w:sz w:val="22"/>
          <w:szCs w:val="22"/>
        </w:rPr>
        <w:t xml:space="preserve"> en un decreto regional que ha servido para facilitar el diálogo y negociación de condiciones específicas así como para poder expresar las condiciones de operación del proceso de fabricación. De este modo las empresas del sector analizan si la</w:t>
      </w:r>
      <w:r w:rsidR="001752C8">
        <w:rPr>
          <w:rFonts w:ascii="Corbel" w:hAnsi="Corbel"/>
          <w:sz w:val="22"/>
          <w:szCs w:val="22"/>
        </w:rPr>
        <w:t xml:space="preserve">s </w:t>
      </w:r>
      <w:r w:rsidRPr="002C5B63">
        <w:rPr>
          <w:rFonts w:ascii="Corbel" w:hAnsi="Corbel"/>
          <w:sz w:val="22"/>
          <w:szCs w:val="22"/>
        </w:rPr>
        <w:t xml:space="preserve">situaciones distintas a las normales </w:t>
      </w:r>
      <w:r w:rsidR="001752C8" w:rsidRPr="002C5B63">
        <w:rPr>
          <w:rFonts w:ascii="Corbel" w:hAnsi="Corbel"/>
          <w:sz w:val="22"/>
          <w:szCs w:val="22"/>
        </w:rPr>
        <w:t>cumplen</w:t>
      </w:r>
      <w:r w:rsidRPr="002C5B63">
        <w:rPr>
          <w:rFonts w:ascii="Corbel" w:hAnsi="Corbel"/>
          <w:sz w:val="22"/>
          <w:szCs w:val="22"/>
        </w:rPr>
        <w:t xml:space="preserve"> con la casuística y frecuencia incluidas en el decreto o bien</w:t>
      </w:r>
      <w:r w:rsidR="00750A0C">
        <w:rPr>
          <w:rFonts w:ascii="Corbel" w:hAnsi="Corbel"/>
          <w:sz w:val="22"/>
          <w:szCs w:val="22"/>
        </w:rPr>
        <w:t>,</w:t>
      </w:r>
      <w:r w:rsidRPr="002C5B63">
        <w:rPr>
          <w:rFonts w:ascii="Corbel" w:hAnsi="Corbel"/>
          <w:sz w:val="22"/>
          <w:szCs w:val="22"/>
        </w:rPr>
        <w:t xml:space="preserve"> por variables como la edad del horno</w:t>
      </w:r>
      <w:r w:rsidR="00750A0C">
        <w:rPr>
          <w:rFonts w:ascii="Corbel" w:hAnsi="Corbel"/>
          <w:sz w:val="22"/>
          <w:szCs w:val="22"/>
        </w:rPr>
        <w:t>,</w:t>
      </w:r>
      <w:r w:rsidRPr="002C5B63">
        <w:rPr>
          <w:rFonts w:ascii="Corbel" w:hAnsi="Corbel"/>
          <w:sz w:val="22"/>
          <w:szCs w:val="22"/>
        </w:rPr>
        <w:t xml:space="preserve"> es </w:t>
      </w:r>
      <w:r w:rsidR="00511368" w:rsidRPr="002C5B63">
        <w:rPr>
          <w:rFonts w:ascii="Corbel" w:hAnsi="Corbel"/>
          <w:sz w:val="22"/>
          <w:szCs w:val="22"/>
        </w:rPr>
        <w:t>necesaria</w:t>
      </w:r>
      <w:r w:rsidRPr="002C5B63">
        <w:rPr>
          <w:rFonts w:ascii="Corbel" w:hAnsi="Corbel"/>
          <w:sz w:val="22"/>
          <w:szCs w:val="22"/>
        </w:rPr>
        <w:t xml:space="preserve"> analizar en detalle las posibles superaciones de frecuencia y tiempo definidas.</w:t>
      </w:r>
      <w:r w:rsidR="00E06B7A">
        <w:rPr>
          <w:rFonts w:ascii="Corbel" w:hAnsi="Corbel"/>
          <w:sz w:val="22"/>
          <w:szCs w:val="22"/>
        </w:rPr>
        <w:t xml:space="preserve"> </w:t>
      </w:r>
    </w:p>
    <w:p w:rsidR="00FA02A8" w:rsidRDefault="00FA02A8" w:rsidP="00FA02A8">
      <w:pPr>
        <w:spacing w:before="240" w:line="240" w:lineRule="auto"/>
        <w:ind w:left="1077"/>
        <w:jc w:val="center"/>
        <w:rPr>
          <w:rFonts w:ascii="Corbel" w:hAnsi="Corbel"/>
          <w:sz w:val="22"/>
          <w:szCs w:val="22"/>
        </w:rPr>
      </w:pPr>
      <w:r>
        <w:rPr>
          <w:rFonts w:ascii="Corbel" w:hAnsi="Corbel"/>
          <w:noProof/>
          <w:sz w:val="22"/>
          <w:szCs w:val="22"/>
          <w:lang w:eastAsia="es-ES"/>
        </w:rPr>
        <w:drawing>
          <wp:inline distT="0" distB="0" distL="0" distR="0">
            <wp:extent cx="4505325" cy="2276475"/>
            <wp:effectExtent l="19050" t="0" r="9525" b="0"/>
            <wp:docPr id="4" name="3 Imagen" descr="2015-11-05 10.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 10.55.16.jpg"/>
                    <pic:cNvPicPr/>
                  </pic:nvPicPr>
                  <pic:blipFill>
                    <a:blip r:embed="rId9" cstate="print"/>
                    <a:srcRect t="27887" b="4789"/>
                    <a:stretch>
                      <a:fillRect/>
                    </a:stretch>
                  </pic:blipFill>
                  <pic:spPr>
                    <a:xfrm>
                      <a:off x="0" y="0"/>
                      <a:ext cx="4505325" cy="2276475"/>
                    </a:xfrm>
                    <a:prstGeom prst="rect">
                      <a:avLst/>
                    </a:prstGeom>
                  </pic:spPr>
                </pic:pic>
              </a:graphicData>
            </a:graphic>
          </wp:inline>
        </w:drawing>
      </w:r>
    </w:p>
    <w:p w:rsidR="00511368" w:rsidRDefault="00511368" w:rsidP="00FA02A8">
      <w:pPr>
        <w:spacing w:before="240" w:line="240" w:lineRule="auto"/>
        <w:ind w:left="1077"/>
        <w:jc w:val="center"/>
        <w:rPr>
          <w:rFonts w:ascii="Corbel" w:hAnsi="Corbel"/>
          <w:sz w:val="22"/>
          <w:szCs w:val="22"/>
        </w:rPr>
      </w:pPr>
    </w:p>
    <w:p w:rsidR="00CF5D0D" w:rsidRDefault="00CF5D0D">
      <w:pPr>
        <w:rPr>
          <w:rFonts w:ascii="Corbel" w:hAnsi="Corbel"/>
          <w:sz w:val="22"/>
          <w:szCs w:val="22"/>
        </w:rPr>
      </w:pPr>
      <w:r>
        <w:rPr>
          <w:rFonts w:ascii="Corbel" w:hAnsi="Corbel"/>
          <w:sz w:val="22"/>
          <w:szCs w:val="22"/>
        </w:rPr>
        <w:br w:type="page"/>
      </w:r>
    </w:p>
    <w:p w:rsidR="00511368" w:rsidRPr="00BD721E" w:rsidRDefault="000F6E35" w:rsidP="001752C8">
      <w:pPr>
        <w:pStyle w:val="Prrafodelista"/>
        <w:numPr>
          <w:ilvl w:val="0"/>
          <w:numId w:val="5"/>
        </w:numPr>
        <w:spacing w:line="240" w:lineRule="auto"/>
        <w:jc w:val="both"/>
        <w:rPr>
          <w:rFonts w:ascii="Corbel" w:hAnsi="Corbel"/>
          <w:sz w:val="22"/>
          <w:szCs w:val="22"/>
        </w:rPr>
      </w:pPr>
      <w:r w:rsidRPr="000F6E35">
        <w:rPr>
          <w:rFonts w:ascii="Corbel" w:hAnsi="Corbel"/>
          <w:noProof/>
          <w:sz w:val="22"/>
          <w:szCs w:val="22"/>
          <w:lang w:eastAsia="es-ES"/>
        </w:rPr>
        <w:drawing>
          <wp:anchor distT="0" distB="0" distL="114300" distR="114300" simplePos="0" relativeHeight="251664384" behindDoc="1" locked="0" layoutInCell="1" allowOverlap="1">
            <wp:simplePos x="0" y="0"/>
            <wp:positionH relativeFrom="column">
              <wp:posOffset>-1258570</wp:posOffset>
            </wp:positionH>
            <wp:positionV relativeFrom="paragraph">
              <wp:posOffset>-1156970</wp:posOffset>
            </wp:positionV>
            <wp:extent cx="7917180" cy="11210925"/>
            <wp:effectExtent l="19050" t="0" r="7620" b="0"/>
            <wp:wrapNone/>
            <wp:docPr id="5" name="0 Imagen" descr="fondo_jornadAM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jornadAMagrama.png"/>
                    <pic:cNvPicPr/>
                  </pic:nvPicPr>
                  <pic:blipFill>
                    <a:blip r:embed="rId8" cstate="print"/>
                    <a:stretch>
                      <a:fillRect/>
                    </a:stretch>
                  </pic:blipFill>
                  <pic:spPr>
                    <a:xfrm>
                      <a:off x="0" y="0"/>
                      <a:ext cx="7917180" cy="11210925"/>
                    </a:xfrm>
                    <a:prstGeom prst="rect">
                      <a:avLst/>
                    </a:prstGeom>
                  </pic:spPr>
                </pic:pic>
              </a:graphicData>
            </a:graphic>
          </wp:anchor>
        </w:drawing>
      </w:r>
      <w:r w:rsidR="00D76285">
        <w:rPr>
          <w:rFonts w:ascii="Corbel" w:hAnsi="Corbel"/>
          <w:sz w:val="22"/>
          <w:szCs w:val="22"/>
        </w:rPr>
        <w:t xml:space="preserve">Tanto desde la </w:t>
      </w:r>
      <w:r w:rsidR="001752C8" w:rsidRPr="00BD721E">
        <w:rPr>
          <w:rFonts w:ascii="Corbel" w:hAnsi="Corbel"/>
          <w:sz w:val="22"/>
          <w:szCs w:val="22"/>
        </w:rPr>
        <w:t>Administración  Ambiental como desde el sector del vidrio</w:t>
      </w:r>
      <w:r w:rsidR="00D76285">
        <w:rPr>
          <w:rFonts w:ascii="Corbel" w:hAnsi="Corbel"/>
          <w:sz w:val="22"/>
          <w:szCs w:val="22"/>
        </w:rPr>
        <w:t xml:space="preserve"> se </w:t>
      </w:r>
      <w:r w:rsidR="001752C8" w:rsidRPr="00BD721E">
        <w:rPr>
          <w:rFonts w:ascii="Corbel" w:hAnsi="Corbel"/>
          <w:sz w:val="22"/>
          <w:szCs w:val="22"/>
        </w:rPr>
        <w:t>gener</w:t>
      </w:r>
      <w:r w:rsidR="00D76285">
        <w:rPr>
          <w:rFonts w:ascii="Corbel" w:hAnsi="Corbel"/>
          <w:sz w:val="22"/>
          <w:szCs w:val="22"/>
        </w:rPr>
        <w:t xml:space="preserve">ó un debate </w:t>
      </w:r>
      <w:r w:rsidR="001752C8" w:rsidRPr="00BD721E">
        <w:rPr>
          <w:rFonts w:ascii="Corbel" w:hAnsi="Corbel"/>
          <w:sz w:val="22"/>
          <w:szCs w:val="22"/>
        </w:rPr>
        <w:t>abiert</w:t>
      </w:r>
      <w:r w:rsidR="00D76285">
        <w:rPr>
          <w:rFonts w:ascii="Corbel" w:hAnsi="Corbel"/>
          <w:sz w:val="22"/>
          <w:szCs w:val="22"/>
        </w:rPr>
        <w:t>o</w:t>
      </w:r>
      <w:r w:rsidR="001752C8" w:rsidRPr="00BD721E">
        <w:rPr>
          <w:rFonts w:ascii="Corbel" w:hAnsi="Corbel"/>
          <w:sz w:val="22"/>
          <w:szCs w:val="22"/>
        </w:rPr>
        <w:t xml:space="preserve"> </w:t>
      </w:r>
      <w:r w:rsidR="00D76285">
        <w:rPr>
          <w:rFonts w:ascii="Corbel" w:hAnsi="Corbel"/>
          <w:sz w:val="22"/>
          <w:szCs w:val="22"/>
        </w:rPr>
        <w:t>entre</w:t>
      </w:r>
      <w:r w:rsidR="001752C8" w:rsidRPr="00BD721E">
        <w:rPr>
          <w:rFonts w:ascii="Corbel" w:hAnsi="Corbel"/>
          <w:sz w:val="22"/>
          <w:szCs w:val="22"/>
        </w:rPr>
        <w:t xml:space="preserve"> los ponentes y las empresas sobre aspectos concretos. Del análisis de estas consultas </w:t>
      </w:r>
      <w:r w:rsidR="00D76285">
        <w:rPr>
          <w:rFonts w:ascii="Corbel" w:hAnsi="Corbel"/>
          <w:sz w:val="22"/>
          <w:szCs w:val="22"/>
        </w:rPr>
        <w:t xml:space="preserve">generadas </w:t>
      </w:r>
      <w:r w:rsidR="001752C8" w:rsidRPr="00BD721E">
        <w:rPr>
          <w:rFonts w:ascii="Corbel" w:hAnsi="Corbel"/>
          <w:sz w:val="22"/>
          <w:szCs w:val="22"/>
        </w:rPr>
        <w:t>se definen las siguientes cuestiones pendiente</w:t>
      </w:r>
      <w:r w:rsidR="00D76285">
        <w:rPr>
          <w:rFonts w:ascii="Corbel" w:hAnsi="Corbel"/>
          <w:sz w:val="22"/>
          <w:szCs w:val="22"/>
        </w:rPr>
        <w:t>s</w:t>
      </w:r>
      <w:r w:rsidR="001752C8" w:rsidRPr="00BD721E">
        <w:rPr>
          <w:rFonts w:ascii="Corbel" w:hAnsi="Corbel"/>
          <w:sz w:val="22"/>
          <w:szCs w:val="22"/>
        </w:rPr>
        <w:t xml:space="preserve"> de analizar por parte de la Administración Ambiental así como por el sector</w:t>
      </w:r>
      <w:r w:rsidR="00D76285">
        <w:rPr>
          <w:rFonts w:ascii="Corbel" w:hAnsi="Corbel"/>
          <w:sz w:val="22"/>
          <w:szCs w:val="22"/>
        </w:rPr>
        <w:t>;</w:t>
      </w:r>
      <w:r w:rsidR="001752C8" w:rsidRPr="00BD721E">
        <w:rPr>
          <w:rFonts w:ascii="Corbel" w:hAnsi="Corbel"/>
          <w:sz w:val="22"/>
          <w:szCs w:val="22"/>
        </w:rPr>
        <w:t xml:space="preserve"> pero apoyarían directamente la implantación de las necesidades regulatorias como de aplicación por parte del sector</w:t>
      </w:r>
      <w:r w:rsidR="00D76285">
        <w:rPr>
          <w:rFonts w:ascii="Corbel" w:hAnsi="Corbel"/>
          <w:sz w:val="22"/>
          <w:szCs w:val="22"/>
        </w:rPr>
        <w:t>. Se plantearon cuestiones como</w:t>
      </w:r>
      <w:r w:rsidR="001752C8" w:rsidRPr="00BD721E">
        <w:rPr>
          <w:rFonts w:ascii="Corbel" w:hAnsi="Corbel"/>
          <w:sz w:val="22"/>
          <w:szCs w:val="22"/>
        </w:rPr>
        <w:t>:</w:t>
      </w:r>
    </w:p>
    <w:p w:rsidR="00BD721E" w:rsidRPr="00D76285" w:rsidRDefault="00BD721E" w:rsidP="00BD721E">
      <w:pPr>
        <w:pStyle w:val="Prrafodelista"/>
        <w:numPr>
          <w:ilvl w:val="0"/>
          <w:numId w:val="8"/>
        </w:numPr>
        <w:spacing w:before="240" w:line="240" w:lineRule="auto"/>
        <w:ind w:left="714" w:hanging="357"/>
        <w:contextualSpacing w:val="0"/>
        <w:jc w:val="both"/>
        <w:rPr>
          <w:rFonts w:ascii="Corbel" w:hAnsi="Corbel"/>
          <w:color w:val="006600"/>
          <w:sz w:val="22"/>
          <w:szCs w:val="22"/>
        </w:rPr>
      </w:pPr>
      <w:r w:rsidRPr="00D76285">
        <w:rPr>
          <w:rFonts w:ascii="Corbel" w:hAnsi="Corbel"/>
          <w:color w:val="006600"/>
          <w:sz w:val="22"/>
          <w:szCs w:val="22"/>
        </w:rPr>
        <w:t>Se puso de manifiesto la necesidad de disponer de unos criterios /</w:t>
      </w:r>
      <w:r w:rsidR="00AE060F" w:rsidRPr="00D76285">
        <w:rPr>
          <w:rFonts w:ascii="Corbel" w:hAnsi="Corbel"/>
          <w:color w:val="006600"/>
          <w:sz w:val="22"/>
          <w:szCs w:val="22"/>
        </w:rPr>
        <w:t>guía</w:t>
      </w:r>
      <w:r w:rsidRPr="00D76285">
        <w:rPr>
          <w:rFonts w:ascii="Corbel" w:hAnsi="Corbel"/>
          <w:color w:val="006600"/>
          <w:sz w:val="22"/>
          <w:szCs w:val="22"/>
        </w:rPr>
        <w:t xml:space="preserve"> que faciliten y </w:t>
      </w:r>
      <w:r w:rsidR="00AE060F" w:rsidRPr="00D76285">
        <w:rPr>
          <w:rFonts w:ascii="Corbel" w:hAnsi="Corbel"/>
          <w:color w:val="006600"/>
          <w:sz w:val="22"/>
          <w:szCs w:val="22"/>
        </w:rPr>
        <w:t>racionalicen</w:t>
      </w:r>
      <w:r w:rsidRPr="00D76285">
        <w:rPr>
          <w:rFonts w:ascii="Corbel" w:hAnsi="Corbel"/>
          <w:color w:val="006600"/>
          <w:sz w:val="22"/>
          <w:szCs w:val="22"/>
        </w:rPr>
        <w:t xml:space="preserve"> la aplicación de las Directiva de Emisiones Industriales en la industria vidriera española que aporte la experiencia ya </w:t>
      </w:r>
      <w:r w:rsidR="00AE060F" w:rsidRPr="00D76285">
        <w:rPr>
          <w:rFonts w:ascii="Corbel" w:hAnsi="Corbel"/>
          <w:color w:val="006600"/>
          <w:sz w:val="22"/>
          <w:szCs w:val="22"/>
        </w:rPr>
        <w:t>adquirida</w:t>
      </w:r>
      <w:r w:rsidRPr="00D76285">
        <w:rPr>
          <w:rFonts w:ascii="Corbel" w:hAnsi="Corbel"/>
          <w:color w:val="006600"/>
          <w:sz w:val="22"/>
          <w:szCs w:val="22"/>
        </w:rPr>
        <w:t xml:space="preserve"> por parte de las adm</w:t>
      </w:r>
      <w:r w:rsidR="00AE060F" w:rsidRPr="00D76285">
        <w:rPr>
          <w:rFonts w:ascii="Corbel" w:hAnsi="Corbel"/>
          <w:color w:val="006600"/>
          <w:sz w:val="22"/>
          <w:szCs w:val="22"/>
        </w:rPr>
        <w:t>inistraciones</w:t>
      </w:r>
      <w:r w:rsidRPr="00D76285">
        <w:rPr>
          <w:rFonts w:ascii="Corbel" w:hAnsi="Corbel"/>
          <w:color w:val="006600"/>
          <w:sz w:val="22"/>
          <w:szCs w:val="22"/>
        </w:rPr>
        <w:t xml:space="preserve"> </w:t>
      </w:r>
      <w:r w:rsidR="00AE060F" w:rsidRPr="00D76285">
        <w:rPr>
          <w:rFonts w:ascii="Corbel" w:hAnsi="Corbel"/>
          <w:color w:val="006600"/>
          <w:sz w:val="22"/>
          <w:szCs w:val="22"/>
        </w:rPr>
        <w:t>competentes</w:t>
      </w:r>
      <w:r w:rsidRPr="00D76285">
        <w:rPr>
          <w:rFonts w:ascii="Corbel" w:hAnsi="Corbel"/>
          <w:color w:val="006600"/>
          <w:sz w:val="22"/>
          <w:szCs w:val="22"/>
        </w:rPr>
        <w:t xml:space="preserve"> como del sector.</w:t>
      </w:r>
    </w:p>
    <w:p w:rsidR="00AE060F" w:rsidRDefault="00D76285" w:rsidP="00AE060F">
      <w:pPr>
        <w:pStyle w:val="Prrafodelista"/>
        <w:numPr>
          <w:ilvl w:val="0"/>
          <w:numId w:val="8"/>
        </w:numPr>
        <w:spacing w:before="240" w:line="240" w:lineRule="auto"/>
        <w:ind w:left="714" w:hanging="357"/>
        <w:contextualSpacing w:val="0"/>
        <w:jc w:val="both"/>
        <w:rPr>
          <w:rFonts w:ascii="Corbel" w:hAnsi="Corbel"/>
          <w:sz w:val="22"/>
          <w:szCs w:val="22"/>
        </w:rPr>
      </w:pPr>
      <w:r w:rsidRPr="00D76285">
        <w:rPr>
          <w:rFonts w:ascii="Corbel" w:hAnsi="Corbel"/>
          <w:color w:val="006600"/>
          <w:sz w:val="22"/>
          <w:szCs w:val="22"/>
        </w:rPr>
        <w:t xml:space="preserve">Se considera relevante </w:t>
      </w:r>
      <w:r w:rsidR="00AE060F" w:rsidRPr="00D76285">
        <w:rPr>
          <w:rFonts w:ascii="Corbel" w:hAnsi="Corbel"/>
          <w:color w:val="006600"/>
          <w:sz w:val="22"/>
          <w:szCs w:val="22"/>
        </w:rPr>
        <w:t xml:space="preserve"> tratar el tema de los plazos a cumplir con las condiciones de BREF y los plazos de adaptación de las empresas del sector teniendo en cuenta la viabilidad técnico-económica de las medidas a implantar</w:t>
      </w:r>
      <w:r w:rsidR="00AE060F">
        <w:rPr>
          <w:rFonts w:ascii="Corbel" w:hAnsi="Corbel"/>
          <w:sz w:val="22"/>
          <w:szCs w:val="22"/>
        </w:rPr>
        <w:t>.</w:t>
      </w:r>
    </w:p>
    <w:p w:rsidR="00397D10" w:rsidRPr="00397D10" w:rsidRDefault="00397D10" w:rsidP="00AE060F">
      <w:pPr>
        <w:pStyle w:val="Prrafodelista"/>
        <w:numPr>
          <w:ilvl w:val="0"/>
          <w:numId w:val="8"/>
        </w:numPr>
        <w:spacing w:before="240" w:line="240" w:lineRule="auto"/>
        <w:ind w:left="714" w:hanging="357"/>
        <w:contextualSpacing w:val="0"/>
        <w:jc w:val="both"/>
        <w:rPr>
          <w:rFonts w:ascii="Corbel" w:hAnsi="Corbel"/>
          <w:color w:val="006600"/>
          <w:sz w:val="22"/>
          <w:szCs w:val="22"/>
        </w:rPr>
      </w:pPr>
      <w:r w:rsidRPr="00397D10">
        <w:rPr>
          <w:rFonts w:ascii="Corbel" w:hAnsi="Corbel"/>
          <w:color w:val="006600"/>
          <w:sz w:val="22"/>
          <w:szCs w:val="22"/>
        </w:rPr>
        <w:t>Desde el sector se recalca la relevancia de que la adopción de medidas secundarias se consider</w:t>
      </w:r>
      <w:r>
        <w:rPr>
          <w:rFonts w:ascii="Corbel" w:hAnsi="Corbel"/>
          <w:color w:val="006600"/>
          <w:sz w:val="22"/>
          <w:szCs w:val="22"/>
        </w:rPr>
        <w:t>e</w:t>
      </w:r>
      <w:r w:rsidRPr="00397D10">
        <w:rPr>
          <w:rFonts w:ascii="Corbel" w:hAnsi="Corbel"/>
          <w:color w:val="006600"/>
          <w:sz w:val="22"/>
          <w:szCs w:val="22"/>
        </w:rPr>
        <w:t xml:space="preserve"> aplicable para cumplir con los VLE en los casos en los que se hayan agotado la implantación de medidas primarias y se superen dichos valores. En estas situaciones se deberá de realizar un análisis de viabilidad técnico-económica. </w:t>
      </w:r>
    </w:p>
    <w:p w:rsidR="00BD721E" w:rsidRDefault="00BD721E" w:rsidP="00BD721E">
      <w:pPr>
        <w:pStyle w:val="Prrafodelista"/>
        <w:numPr>
          <w:ilvl w:val="0"/>
          <w:numId w:val="8"/>
        </w:numPr>
        <w:spacing w:before="240" w:line="240" w:lineRule="auto"/>
        <w:ind w:left="714" w:hanging="357"/>
        <w:contextualSpacing w:val="0"/>
        <w:jc w:val="both"/>
        <w:rPr>
          <w:rFonts w:ascii="Corbel" w:hAnsi="Corbel"/>
          <w:sz w:val="22"/>
          <w:szCs w:val="22"/>
        </w:rPr>
      </w:pPr>
      <w:r w:rsidRPr="00D76285">
        <w:rPr>
          <w:rFonts w:ascii="Corbel" w:hAnsi="Corbel"/>
          <w:color w:val="006600"/>
          <w:sz w:val="22"/>
          <w:szCs w:val="22"/>
        </w:rPr>
        <w:t>Se detecta un posible punt</w:t>
      </w:r>
      <w:r w:rsidR="00D76285" w:rsidRPr="00D76285">
        <w:rPr>
          <w:rFonts w:ascii="Corbel" w:hAnsi="Corbel"/>
          <w:color w:val="006600"/>
          <w:sz w:val="22"/>
          <w:szCs w:val="22"/>
        </w:rPr>
        <w:t xml:space="preserve">o en común </w:t>
      </w:r>
      <w:r w:rsidRPr="00D76285">
        <w:rPr>
          <w:rFonts w:ascii="Corbel" w:hAnsi="Corbel"/>
          <w:color w:val="006600"/>
          <w:sz w:val="22"/>
          <w:szCs w:val="22"/>
        </w:rPr>
        <w:t>entre las partes que podría facilitar la redacción de las medidas (aspectos comunes) a incorporar en las Autorizaciones en materia de monitorización de emisiones</w:t>
      </w:r>
      <w:r w:rsidRPr="00BD721E">
        <w:rPr>
          <w:rFonts w:ascii="Corbel" w:hAnsi="Corbel"/>
          <w:sz w:val="22"/>
          <w:szCs w:val="22"/>
        </w:rPr>
        <w:t xml:space="preserve">. Esta información podría servir a los órganos competentes para adaptarlo a los escenarios aplicables en cada caso </w:t>
      </w:r>
    </w:p>
    <w:p w:rsidR="001752C8" w:rsidRPr="00BD721E" w:rsidRDefault="001752C8" w:rsidP="00BD721E">
      <w:pPr>
        <w:pStyle w:val="Prrafodelista"/>
        <w:numPr>
          <w:ilvl w:val="0"/>
          <w:numId w:val="8"/>
        </w:numPr>
        <w:spacing w:before="240" w:line="240" w:lineRule="auto"/>
        <w:ind w:left="714" w:hanging="357"/>
        <w:contextualSpacing w:val="0"/>
        <w:jc w:val="both"/>
        <w:rPr>
          <w:rFonts w:ascii="Corbel" w:hAnsi="Corbel"/>
          <w:sz w:val="22"/>
          <w:szCs w:val="22"/>
        </w:rPr>
      </w:pPr>
      <w:r w:rsidRPr="00D76285">
        <w:rPr>
          <w:rFonts w:ascii="Corbel" w:hAnsi="Corbel"/>
          <w:color w:val="006600"/>
          <w:sz w:val="22"/>
          <w:szCs w:val="22"/>
        </w:rPr>
        <w:t xml:space="preserve">Es necesario garantizar la calidad de las mediciones de emisiones a la atmosfera de los procesos de fabricación del </w:t>
      </w:r>
      <w:r w:rsidR="00AE060F" w:rsidRPr="00D76285">
        <w:rPr>
          <w:rFonts w:ascii="Corbel" w:hAnsi="Corbel"/>
          <w:color w:val="006600"/>
          <w:sz w:val="22"/>
          <w:szCs w:val="22"/>
        </w:rPr>
        <w:t>vidrio</w:t>
      </w:r>
      <w:r w:rsidR="00AE060F">
        <w:rPr>
          <w:rFonts w:ascii="Corbel" w:hAnsi="Corbel"/>
          <w:sz w:val="22"/>
          <w:szCs w:val="22"/>
        </w:rPr>
        <w:t xml:space="preserve">. </w:t>
      </w:r>
      <w:r w:rsidRPr="00BD721E">
        <w:rPr>
          <w:rFonts w:ascii="Corbel" w:hAnsi="Corbel"/>
          <w:sz w:val="22"/>
          <w:szCs w:val="22"/>
        </w:rPr>
        <w:t xml:space="preserve">Para ello </w:t>
      </w:r>
      <w:r w:rsidR="00D76285">
        <w:rPr>
          <w:rFonts w:ascii="Corbel" w:hAnsi="Corbel"/>
          <w:sz w:val="22"/>
          <w:szCs w:val="22"/>
        </w:rPr>
        <w:t>sería esperable</w:t>
      </w:r>
      <w:r w:rsidRPr="00BD721E">
        <w:rPr>
          <w:rFonts w:ascii="Corbel" w:hAnsi="Corbel"/>
          <w:sz w:val="22"/>
          <w:szCs w:val="22"/>
        </w:rPr>
        <w:t>:</w:t>
      </w:r>
    </w:p>
    <w:p w:rsidR="001752C8" w:rsidRPr="00EE523B" w:rsidRDefault="001752C8" w:rsidP="00BD721E">
      <w:pPr>
        <w:pStyle w:val="Prrafodelista"/>
        <w:numPr>
          <w:ilvl w:val="1"/>
          <w:numId w:val="8"/>
        </w:numPr>
        <w:spacing w:before="120" w:after="120" w:line="240" w:lineRule="auto"/>
        <w:ind w:left="1434" w:hanging="357"/>
        <w:contextualSpacing w:val="0"/>
        <w:jc w:val="both"/>
        <w:rPr>
          <w:rFonts w:ascii="Corbel" w:hAnsi="Corbel"/>
          <w:i/>
          <w:sz w:val="22"/>
          <w:szCs w:val="22"/>
        </w:rPr>
      </w:pPr>
      <w:r w:rsidRPr="00EE523B">
        <w:rPr>
          <w:rFonts w:ascii="Corbel" w:hAnsi="Corbel"/>
          <w:i/>
          <w:sz w:val="22"/>
          <w:szCs w:val="22"/>
        </w:rPr>
        <w:t>Definir claramente la aplicabilidad del la norma UNE14181 para el sector</w:t>
      </w:r>
      <w:r w:rsidR="00EE523B" w:rsidRPr="00EE523B">
        <w:rPr>
          <w:rFonts w:ascii="Corbel" w:hAnsi="Corbel"/>
          <w:i/>
          <w:sz w:val="22"/>
          <w:szCs w:val="22"/>
        </w:rPr>
        <w:t>.</w:t>
      </w:r>
    </w:p>
    <w:p w:rsidR="001752C8" w:rsidRPr="00EE523B" w:rsidRDefault="001752C8" w:rsidP="00BD721E">
      <w:pPr>
        <w:pStyle w:val="Prrafodelista"/>
        <w:numPr>
          <w:ilvl w:val="1"/>
          <w:numId w:val="8"/>
        </w:numPr>
        <w:spacing w:before="120" w:after="120" w:line="240" w:lineRule="auto"/>
        <w:ind w:left="1434" w:hanging="357"/>
        <w:contextualSpacing w:val="0"/>
        <w:jc w:val="both"/>
        <w:rPr>
          <w:rFonts w:ascii="Corbel" w:hAnsi="Corbel"/>
          <w:i/>
          <w:sz w:val="22"/>
          <w:szCs w:val="22"/>
        </w:rPr>
      </w:pPr>
      <w:r w:rsidRPr="00EE523B">
        <w:rPr>
          <w:rFonts w:ascii="Corbel" w:hAnsi="Corbel"/>
          <w:i/>
          <w:sz w:val="22"/>
          <w:szCs w:val="22"/>
        </w:rPr>
        <w:t xml:space="preserve">Identificar aquellas situaciones de paradas </w:t>
      </w:r>
      <w:r w:rsidR="00AE060F" w:rsidRPr="00EE523B">
        <w:rPr>
          <w:rFonts w:ascii="Corbel" w:hAnsi="Corbel"/>
          <w:i/>
          <w:sz w:val="22"/>
          <w:szCs w:val="22"/>
        </w:rPr>
        <w:t>específicas</w:t>
      </w:r>
      <w:r w:rsidRPr="00EE523B">
        <w:rPr>
          <w:rFonts w:ascii="Corbel" w:hAnsi="Corbel"/>
          <w:i/>
          <w:sz w:val="22"/>
          <w:szCs w:val="22"/>
        </w:rPr>
        <w:t xml:space="preserve"> del proceso que condicionen la disponibilidad de datos v</w:t>
      </w:r>
      <w:r w:rsidR="000F6E35" w:rsidRPr="00EE523B">
        <w:rPr>
          <w:rFonts w:ascii="Corbel" w:hAnsi="Corbel"/>
          <w:i/>
          <w:sz w:val="22"/>
          <w:szCs w:val="22"/>
        </w:rPr>
        <w:t>á</w:t>
      </w:r>
      <w:r w:rsidRPr="00EE523B">
        <w:rPr>
          <w:rFonts w:ascii="Corbel" w:hAnsi="Corbel"/>
          <w:i/>
          <w:sz w:val="22"/>
          <w:szCs w:val="22"/>
        </w:rPr>
        <w:t>lidos</w:t>
      </w:r>
      <w:r w:rsidR="00BD721E" w:rsidRPr="00EE523B">
        <w:rPr>
          <w:rFonts w:ascii="Corbel" w:hAnsi="Corbel"/>
          <w:i/>
          <w:sz w:val="22"/>
          <w:szCs w:val="22"/>
        </w:rPr>
        <w:t>.</w:t>
      </w:r>
    </w:p>
    <w:p w:rsidR="00BD721E" w:rsidRPr="00EE523B" w:rsidRDefault="00EE523B" w:rsidP="00BD721E">
      <w:pPr>
        <w:pStyle w:val="Prrafodelista"/>
        <w:numPr>
          <w:ilvl w:val="1"/>
          <w:numId w:val="8"/>
        </w:numPr>
        <w:spacing w:before="120" w:after="120" w:line="240" w:lineRule="auto"/>
        <w:ind w:left="1434" w:hanging="357"/>
        <w:contextualSpacing w:val="0"/>
        <w:jc w:val="both"/>
        <w:rPr>
          <w:rFonts w:ascii="Corbel" w:hAnsi="Corbel"/>
          <w:i/>
          <w:sz w:val="22"/>
          <w:szCs w:val="22"/>
        </w:rPr>
      </w:pPr>
      <w:r w:rsidRPr="00EE523B">
        <w:rPr>
          <w:rFonts w:ascii="Corbel" w:hAnsi="Corbel"/>
          <w:i/>
          <w:sz w:val="22"/>
          <w:szCs w:val="22"/>
        </w:rPr>
        <w:t xml:space="preserve">Conocer en detalle  el proceso de definición de </w:t>
      </w:r>
      <w:r w:rsidR="00BD721E" w:rsidRPr="00EE523B">
        <w:rPr>
          <w:rFonts w:ascii="Corbel" w:hAnsi="Corbel"/>
          <w:i/>
          <w:sz w:val="22"/>
          <w:szCs w:val="22"/>
        </w:rPr>
        <w:t xml:space="preserve">las variables del Decreto de </w:t>
      </w:r>
      <w:r w:rsidRPr="00EE523B">
        <w:rPr>
          <w:rFonts w:ascii="Corbel" w:hAnsi="Corbel"/>
          <w:i/>
          <w:sz w:val="22"/>
          <w:szCs w:val="22"/>
        </w:rPr>
        <w:t>Lombardía</w:t>
      </w:r>
      <w:r w:rsidR="00BD721E" w:rsidRPr="00EE523B">
        <w:rPr>
          <w:rFonts w:ascii="Corbel" w:hAnsi="Corbel"/>
          <w:i/>
          <w:sz w:val="22"/>
          <w:szCs w:val="22"/>
        </w:rPr>
        <w:t xml:space="preserve"> y</w:t>
      </w:r>
      <w:r w:rsidRPr="00EE523B">
        <w:rPr>
          <w:rFonts w:ascii="Corbel" w:hAnsi="Corbel"/>
          <w:i/>
          <w:sz w:val="22"/>
          <w:szCs w:val="22"/>
        </w:rPr>
        <w:t>,</w:t>
      </w:r>
      <w:r w:rsidR="00BD721E" w:rsidRPr="00EE523B">
        <w:rPr>
          <w:rFonts w:ascii="Corbel" w:hAnsi="Corbel"/>
          <w:i/>
          <w:sz w:val="22"/>
          <w:szCs w:val="22"/>
        </w:rPr>
        <w:t xml:space="preserve"> </w:t>
      </w:r>
      <w:r w:rsidR="000F6E35" w:rsidRPr="00EE523B">
        <w:rPr>
          <w:rFonts w:ascii="Corbel" w:hAnsi="Corbel"/>
          <w:i/>
          <w:sz w:val="22"/>
          <w:szCs w:val="22"/>
        </w:rPr>
        <w:t>sobre todo</w:t>
      </w:r>
      <w:r w:rsidRPr="00EE523B">
        <w:rPr>
          <w:rFonts w:ascii="Corbel" w:hAnsi="Corbel"/>
          <w:i/>
          <w:sz w:val="22"/>
          <w:szCs w:val="22"/>
        </w:rPr>
        <w:t>,</w:t>
      </w:r>
      <w:r w:rsidR="00BD721E" w:rsidRPr="00EE523B">
        <w:rPr>
          <w:rFonts w:ascii="Corbel" w:hAnsi="Corbel"/>
          <w:i/>
          <w:sz w:val="22"/>
          <w:szCs w:val="22"/>
        </w:rPr>
        <w:t xml:space="preserve"> aquellos aspectos concretos de cómo se ha desarrollado la implementación de las condiciones de paradas por mantenimiento o por funcionamiento de los equipos SAM.</w:t>
      </w:r>
    </w:p>
    <w:p w:rsidR="000F6E35" w:rsidRPr="00EE523B" w:rsidRDefault="000F6E35" w:rsidP="000F6E35">
      <w:pPr>
        <w:pStyle w:val="Prrafodelista"/>
        <w:numPr>
          <w:ilvl w:val="0"/>
          <w:numId w:val="8"/>
        </w:numPr>
        <w:spacing w:before="120" w:after="120" w:line="240" w:lineRule="auto"/>
        <w:ind w:left="717"/>
        <w:contextualSpacing w:val="0"/>
        <w:jc w:val="both"/>
        <w:rPr>
          <w:rFonts w:ascii="Corbel" w:hAnsi="Corbel"/>
          <w:sz w:val="22"/>
          <w:szCs w:val="22"/>
        </w:rPr>
      </w:pPr>
      <w:r w:rsidRPr="00EE523B">
        <w:rPr>
          <w:rFonts w:ascii="Corbel" w:hAnsi="Corbel"/>
          <w:sz w:val="22"/>
          <w:szCs w:val="24"/>
        </w:rPr>
        <w:t xml:space="preserve">En relación con la definición de medidas concretas de medición para comprobar el cumplimiento de los Valores Límite de Emisión (VLE) </w:t>
      </w:r>
      <w:r w:rsidRPr="00EE523B">
        <w:rPr>
          <w:rFonts w:ascii="Corbel" w:hAnsi="Corbel"/>
          <w:color w:val="006600"/>
          <w:sz w:val="22"/>
          <w:szCs w:val="24"/>
        </w:rPr>
        <w:t xml:space="preserve">¿Cuál es la manera más adecuada de comprobar el cumplimiento de los VLE de </w:t>
      </w:r>
      <w:proofErr w:type="spellStart"/>
      <w:r w:rsidRPr="00EE523B">
        <w:rPr>
          <w:rFonts w:ascii="Corbel" w:hAnsi="Corbel"/>
          <w:color w:val="006600"/>
          <w:sz w:val="22"/>
          <w:szCs w:val="24"/>
        </w:rPr>
        <w:t>MeS</w:t>
      </w:r>
      <w:proofErr w:type="spellEnd"/>
      <w:r w:rsidRPr="00EE523B">
        <w:rPr>
          <w:rFonts w:ascii="Corbel" w:hAnsi="Corbel"/>
          <w:color w:val="006600"/>
          <w:sz w:val="22"/>
          <w:szCs w:val="24"/>
        </w:rPr>
        <w:t xml:space="preserve">, </w:t>
      </w:r>
      <w:proofErr w:type="spellStart"/>
      <w:r w:rsidRPr="00EE523B">
        <w:rPr>
          <w:rFonts w:ascii="Corbel" w:hAnsi="Corbel"/>
          <w:color w:val="006600"/>
          <w:sz w:val="22"/>
          <w:szCs w:val="24"/>
        </w:rPr>
        <w:t>NO</w:t>
      </w:r>
      <w:r w:rsidRPr="00EE523B">
        <w:rPr>
          <w:rFonts w:ascii="Corbel" w:hAnsi="Corbel"/>
          <w:color w:val="006600"/>
          <w:sz w:val="22"/>
          <w:szCs w:val="24"/>
          <w:vertAlign w:val="subscript"/>
        </w:rPr>
        <w:t>x</w:t>
      </w:r>
      <w:proofErr w:type="spellEnd"/>
      <w:r w:rsidRPr="00EE523B">
        <w:rPr>
          <w:rFonts w:ascii="Corbel" w:hAnsi="Corbel"/>
          <w:color w:val="006600"/>
          <w:sz w:val="22"/>
          <w:szCs w:val="24"/>
        </w:rPr>
        <w:t>, SO</w:t>
      </w:r>
      <w:r w:rsidRPr="00EE523B">
        <w:rPr>
          <w:rFonts w:ascii="Corbel" w:hAnsi="Corbel"/>
          <w:color w:val="006600"/>
          <w:sz w:val="22"/>
          <w:szCs w:val="24"/>
          <w:vertAlign w:val="subscript"/>
        </w:rPr>
        <w:t>2</w:t>
      </w:r>
      <w:r w:rsidRPr="00EE523B">
        <w:rPr>
          <w:rFonts w:ascii="Corbel" w:hAnsi="Corbel"/>
          <w:color w:val="006600"/>
          <w:sz w:val="22"/>
          <w:szCs w:val="24"/>
        </w:rPr>
        <w:t xml:space="preserve">, HF, </w:t>
      </w:r>
      <w:proofErr w:type="spellStart"/>
      <w:r w:rsidRPr="00EE523B">
        <w:rPr>
          <w:rFonts w:ascii="Corbel" w:hAnsi="Corbel"/>
          <w:color w:val="006600"/>
          <w:sz w:val="22"/>
          <w:szCs w:val="24"/>
        </w:rPr>
        <w:t>HCl</w:t>
      </w:r>
      <w:proofErr w:type="spellEnd"/>
      <w:r w:rsidRPr="00EE523B">
        <w:rPr>
          <w:rFonts w:ascii="Corbel" w:hAnsi="Corbel"/>
          <w:color w:val="006600"/>
          <w:sz w:val="22"/>
          <w:szCs w:val="24"/>
        </w:rPr>
        <w:t xml:space="preserve"> y metales, en carga específica (kg/t)?. </w:t>
      </w:r>
      <w:r w:rsidRPr="00EE523B">
        <w:rPr>
          <w:rFonts w:ascii="Corbel" w:hAnsi="Corbel"/>
          <w:sz w:val="22"/>
          <w:szCs w:val="24"/>
        </w:rPr>
        <w:t xml:space="preserve">Se considera significativo </w:t>
      </w:r>
      <w:r w:rsidR="00EE523B" w:rsidRPr="00EE523B">
        <w:rPr>
          <w:rFonts w:ascii="Corbel" w:hAnsi="Corbel"/>
          <w:sz w:val="22"/>
          <w:szCs w:val="24"/>
        </w:rPr>
        <w:t xml:space="preserve">definir si sería horario, diario, mensual ó </w:t>
      </w:r>
      <w:r w:rsidRPr="00EE523B">
        <w:rPr>
          <w:rFonts w:ascii="Corbel" w:hAnsi="Corbel"/>
          <w:sz w:val="22"/>
          <w:szCs w:val="24"/>
        </w:rPr>
        <w:t>anual, ya que el BREF no lo especifica. ¿</w:t>
      </w:r>
      <w:r w:rsidRPr="00EE523B">
        <w:rPr>
          <w:rFonts w:ascii="Corbel" w:hAnsi="Corbel"/>
          <w:color w:val="006600"/>
          <w:sz w:val="22"/>
          <w:szCs w:val="24"/>
        </w:rPr>
        <w:t>Sería necesaria la instalación de medidores en continuo de caudal en los focos de emisión de los hornos de fusión</w:t>
      </w:r>
      <w:r w:rsidRPr="00EE523B">
        <w:rPr>
          <w:rFonts w:ascii="Corbel" w:hAnsi="Corbel"/>
          <w:sz w:val="22"/>
          <w:szCs w:val="24"/>
        </w:rPr>
        <w:t xml:space="preserve">? </w:t>
      </w:r>
      <w:r w:rsidR="00EE523B" w:rsidRPr="00EE523B">
        <w:rPr>
          <w:rFonts w:ascii="Corbel" w:hAnsi="Corbel"/>
          <w:sz w:val="22"/>
          <w:szCs w:val="24"/>
        </w:rPr>
        <w:t>¿</w:t>
      </w:r>
      <w:r w:rsidRPr="00EE523B">
        <w:rPr>
          <w:rFonts w:ascii="Corbel" w:hAnsi="Corbel"/>
          <w:color w:val="006600"/>
          <w:sz w:val="22"/>
          <w:szCs w:val="24"/>
        </w:rPr>
        <w:t xml:space="preserve">O se podría optar por un sistema de cálculo de algoritmos como los incluidos en el decreto de </w:t>
      </w:r>
      <w:r w:rsidR="00EE523B" w:rsidRPr="00EE523B">
        <w:rPr>
          <w:rFonts w:ascii="Corbel" w:hAnsi="Corbel"/>
          <w:color w:val="006600"/>
          <w:sz w:val="22"/>
          <w:szCs w:val="24"/>
        </w:rPr>
        <w:t>Lombardía</w:t>
      </w:r>
      <w:r w:rsidRPr="00EE523B">
        <w:rPr>
          <w:rFonts w:ascii="Corbel" w:hAnsi="Corbel"/>
          <w:sz w:val="22"/>
          <w:szCs w:val="24"/>
        </w:rPr>
        <w:t>?</w:t>
      </w:r>
    </w:p>
    <w:p w:rsidR="00BD721E" w:rsidRDefault="00BD721E" w:rsidP="00BD721E">
      <w:pPr>
        <w:pStyle w:val="Prrafodelista"/>
        <w:numPr>
          <w:ilvl w:val="0"/>
          <w:numId w:val="8"/>
        </w:numPr>
        <w:spacing w:before="240" w:line="240" w:lineRule="auto"/>
        <w:ind w:left="714" w:hanging="357"/>
        <w:contextualSpacing w:val="0"/>
        <w:jc w:val="both"/>
        <w:rPr>
          <w:rFonts w:ascii="Corbel" w:hAnsi="Corbel"/>
          <w:sz w:val="22"/>
          <w:szCs w:val="22"/>
        </w:rPr>
      </w:pPr>
      <w:r>
        <w:rPr>
          <w:rFonts w:ascii="Corbel" w:hAnsi="Corbel"/>
          <w:sz w:val="22"/>
          <w:szCs w:val="22"/>
        </w:rPr>
        <w:t>¿</w:t>
      </w:r>
      <w:r w:rsidRPr="00EE523B">
        <w:rPr>
          <w:rFonts w:ascii="Corbel" w:hAnsi="Corbel"/>
          <w:color w:val="006600"/>
          <w:sz w:val="22"/>
          <w:szCs w:val="22"/>
        </w:rPr>
        <w:t>Cómo se podría articular esta redacción/concreción</w:t>
      </w:r>
      <w:r w:rsidR="00AE4801" w:rsidRPr="00EE523B">
        <w:rPr>
          <w:rFonts w:ascii="Corbel" w:hAnsi="Corbel"/>
          <w:color w:val="006600"/>
          <w:sz w:val="22"/>
          <w:szCs w:val="22"/>
        </w:rPr>
        <w:t xml:space="preserve"> así como el método de trabajo más efectivo con los Órganos Competentes</w:t>
      </w:r>
      <w:r>
        <w:rPr>
          <w:rFonts w:ascii="Corbel" w:hAnsi="Corbel"/>
          <w:sz w:val="22"/>
          <w:szCs w:val="22"/>
        </w:rPr>
        <w:t>?</w:t>
      </w:r>
    </w:p>
    <w:p w:rsidR="00BD721E" w:rsidRPr="00BD721E" w:rsidRDefault="00BD721E" w:rsidP="00BD721E">
      <w:pPr>
        <w:spacing w:before="120" w:after="120" w:line="240" w:lineRule="auto"/>
        <w:jc w:val="both"/>
        <w:rPr>
          <w:rFonts w:ascii="Corbel" w:hAnsi="Corbel"/>
          <w:sz w:val="22"/>
          <w:szCs w:val="22"/>
        </w:rPr>
      </w:pPr>
    </w:p>
    <w:sectPr w:rsidR="00BD721E" w:rsidRPr="00BD721E" w:rsidSect="005A167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5AD"/>
    <w:multiLevelType w:val="hybridMultilevel"/>
    <w:tmpl w:val="9F6459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9B65BB"/>
    <w:multiLevelType w:val="hybridMultilevel"/>
    <w:tmpl w:val="988CD8CE"/>
    <w:lvl w:ilvl="0" w:tplc="F468046C">
      <w:start w:val="1"/>
      <w:numFmt w:val="ordinal"/>
      <w:lvlText w:val="%1."/>
      <w:lvlJc w:val="left"/>
      <w:pPr>
        <w:ind w:left="720" w:hanging="360"/>
      </w:pPr>
      <w:rPr>
        <w:rFonts w:hint="default"/>
        <w:color w:val="0066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79713C"/>
    <w:multiLevelType w:val="hybridMultilevel"/>
    <w:tmpl w:val="8390D268"/>
    <w:lvl w:ilvl="0" w:tplc="86D40926">
      <w:start w:val="1"/>
      <w:numFmt w:val="upperLetter"/>
      <w:lvlText w:val="%1."/>
      <w:lvlJc w:val="left"/>
      <w:pPr>
        <w:ind w:left="360" w:hanging="360"/>
      </w:pPr>
      <w:rPr>
        <w:b/>
        <w:color w:val="336600"/>
        <w:sz w:val="56"/>
        <w:szCs w:val="5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421C5D24"/>
    <w:multiLevelType w:val="hybridMultilevel"/>
    <w:tmpl w:val="CDE2E1DE"/>
    <w:lvl w:ilvl="0" w:tplc="5644F114">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4B3150FE"/>
    <w:multiLevelType w:val="hybridMultilevel"/>
    <w:tmpl w:val="C96266C0"/>
    <w:lvl w:ilvl="0" w:tplc="3C40B626">
      <w:start w:val="1"/>
      <w:numFmt w:val="bullet"/>
      <w:lvlText w:val=""/>
      <w:lvlJc w:val="left"/>
      <w:pPr>
        <w:tabs>
          <w:tab w:val="num" w:pos="720"/>
        </w:tabs>
        <w:ind w:left="720" w:hanging="360"/>
      </w:pPr>
      <w:rPr>
        <w:rFonts w:ascii="Wingdings" w:hAnsi="Wingdings" w:hint="default"/>
      </w:rPr>
    </w:lvl>
    <w:lvl w:ilvl="1" w:tplc="74B25B4A" w:tentative="1">
      <w:start w:val="1"/>
      <w:numFmt w:val="bullet"/>
      <w:lvlText w:val=""/>
      <w:lvlJc w:val="left"/>
      <w:pPr>
        <w:tabs>
          <w:tab w:val="num" w:pos="1440"/>
        </w:tabs>
        <w:ind w:left="1440" w:hanging="360"/>
      </w:pPr>
      <w:rPr>
        <w:rFonts w:ascii="Wingdings" w:hAnsi="Wingdings" w:hint="default"/>
      </w:rPr>
    </w:lvl>
    <w:lvl w:ilvl="2" w:tplc="A874F492" w:tentative="1">
      <w:start w:val="1"/>
      <w:numFmt w:val="bullet"/>
      <w:lvlText w:val=""/>
      <w:lvlJc w:val="left"/>
      <w:pPr>
        <w:tabs>
          <w:tab w:val="num" w:pos="2160"/>
        </w:tabs>
        <w:ind w:left="2160" w:hanging="360"/>
      </w:pPr>
      <w:rPr>
        <w:rFonts w:ascii="Wingdings" w:hAnsi="Wingdings" w:hint="default"/>
      </w:rPr>
    </w:lvl>
    <w:lvl w:ilvl="3" w:tplc="0B96F560" w:tentative="1">
      <w:start w:val="1"/>
      <w:numFmt w:val="bullet"/>
      <w:lvlText w:val=""/>
      <w:lvlJc w:val="left"/>
      <w:pPr>
        <w:tabs>
          <w:tab w:val="num" w:pos="2880"/>
        </w:tabs>
        <w:ind w:left="2880" w:hanging="360"/>
      </w:pPr>
      <w:rPr>
        <w:rFonts w:ascii="Wingdings" w:hAnsi="Wingdings" w:hint="default"/>
      </w:rPr>
    </w:lvl>
    <w:lvl w:ilvl="4" w:tplc="1454255A" w:tentative="1">
      <w:start w:val="1"/>
      <w:numFmt w:val="bullet"/>
      <w:lvlText w:val=""/>
      <w:lvlJc w:val="left"/>
      <w:pPr>
        <w:tabs>
          <w:tab w:val="num" w:pos="3600"/>
        </w:tabs>
        <w:ind w:left="3600" w:hanging="360"/>
      </w:pPr>
      <w:rPr>
        <w:rFonts w:ascii="Wingdings" w:hAnsi="Wingdings" w:hint="default"/>
      </w:rPr>
    </w:lvl>
    <w:lvl w:ilvl="5" w:tplc="6D64FE7E" w:tentative="1">
      <w:start w:val="1"/>
      <w:numFmt w:val="bullet"/>
      <w:lvlText w:val=""/>
      <w:lvlJc w:val="left"/>
      <w:pPr>
        <w:tabs>
          <w:tab w:val="num" w:pos="4320"/>
        </w:tabs>
        <w:ind w:left="4320" w:hanging="360"/>
      </w:pPr>
      <w:rPr>
        <w:rFonts w:ascii="Wingdings" w:hAnsi="Wingdings" w:hint="default"/>
      </w:rPr>
    </w:lvl>
    <w:lvl w:ilvl="6" w:tplc="E14CE0DE" w:tentative="1">
      <w:start w:val="1"/>
      <w:numFmt w:val="bullet"/>
      <w:lvlText w:val=""/>
      <w:lvlJc w:val="left"/>
      <w:pPr>
        <w:tabs>
          <w:tab w:val="num" w:pos="5040"/>
        </w:tabs>
        <w:ind w:left="5040" w:hanging="360"/>
      </w:pPr>
      <w:rPr>
        <w:rFonts w:ascii="Wingdings" w:hAnsi="Wingdings" w:hint="default"/>
      </w:rPr>
    </w:lvl>
    <w:lvl w:ilvl="7" w:tplc="5C246354" w:tentative="1">
      <w:start w:val="1"/>
      <w:numFmt w:val="bullet"/>
      <w:lvlText w:val=""/>
      <w:lvlJc w:val="left"/>
      <w:pPr>
        <w:tabs>
          <w:tab w:val="num" w:pos="5760"/>
        </w:tabs>
        <w:ind w:left="5760" w:hanging="360"/>
      </w:pPr>
      <w:rPr>
        <w:rFonts w:ascii="Wingdings" w:hAnsi="Wingdings" w:hint="default"/>
      </w:rPr>
    </w:lvl>
    <w:lvl w:ilvl="8" w:tplc="187230C4" w:tentative="1">
      <w:start w:val="1"/>
      <w:numFmt w:val="bullet"/>
      <w:lvlText w:val=""/>
      <w:lvlJc w:val="left"/>
      <w:pPr>
        <w:tabs>
          <w:tab w:val="num" w:pos="6480"/>
        </w:tabs>
        <w:ind w:left="6480" w:hanging="360"/>
      </w:pPr>
      <w:rPr>
        <w:rFonts w:ascii="Wingdings" w:hAnsi="Wingdings" w:hint="default"/>
      </w:rPr>
    </w:lvl>
  </w:abstractNum>
  <w:abstractNum w:abstractNumId="5">
    <w:nsid w:val="4F1A661B"/>
    <w:multiLevelType w:val="hybridMultilevel"/>
    <w:tmpl w:val="232803FC"/>
    <w:lvl w:ilvl="0" w:tplc="5644F114">
      <w:start w:val="1"/>
      <w:numFmt w:val="bullet"/>
      <w:lvlText w:val=""/>
      <w:lvlJc w:val="left"/>
      <w:pPr>
        <w:tabs>
          <w:tab w:val="num" w:pos="720"/>
        </w:tabs>
        <w:ind w:left="720" w:hanging="360"/>
      </w:pPr>
      <w:rPr>
        <w:rFonts w:ascii="Wingdings" w:hAnsi="Wingdings" w:hint="default"/>
      </w:rPr>
    </w:lvl>
    <w:lvl w:ilvl="1" w:tplc="397CBA20" w:tentative="1">
      <w:start w:val="1"/>
      <w:numFmt w:val="bullet"/>
      <w:lvlText w:val=""/>
      <w:lvlJc w:val="left"/>
      <w:pPr>
        <w:tabs>
          <w:tab w:val="num" w:pos="1440"/>
        </w:tabs>
        <w:ind w:left="1440" w:hanging="360"/>
      </w:pPr>
      <w:rPr>
        <w:rFonts w:ascii="Wingdings" w:hAnsi="Wingdings" w:hint="default"/>
      </w:rPr>
    </w:lvl>
    <w:lvl w:ilvl="2" w:tplc="01AA0F0C" w:tentative="1">
      <w:start w:val="1"/>
      <w:numFmt w:val="bullet"/>
      <w:lvlText w:val=""/>
      <w:lvlJc w:val="left"/>
      <w:pPr>
        <w:tabs>
          <w:tab w:val="num" w:pos="2160"/>
        </w:tabs>
        <w:ind w:left="2160" w:hanging="360"/>
      </w:pPr>
      <w:rPr>
        <w:rFonts w:ascii="Wingdings" w:hAnsi="Wingdings" w:hint="default"/>
      </w:rPr>
    </w:lvl>
    <w:lvl w:ilvl="3" w:tplc="9A7AAA10" w:tentative="1">
      <w:start w:val="1"/>
      <w:numFmt w:val="bullet"/>
      <w:lvlText w:val=""/>
      <w:lvlJc w:val="left"/>
      <w:pPr>
        <w:tabs>
          <w:tab w:val="num" w:pos="2880"/>
        </w:tabs>
        <w:ind w:left="2880" w:hanging="360"/>
      </w:pPr>
      <w:rPr>
        <w:rFonts w:ascii="Wingdings" w:hAnsi="Wingdings" w:hint="default"/>
      </w:rPr>
    </w:lvl>
    <w:lvl w:ilvl="4" w:tplc="CEB451CE" w:tentative="1">
      <w:start w:val="1"/>
      <w:numFmt w:val="bullet"/>
      <w:lvlText w:val=""/>
      <w:lvlJc w:val="left"/>
      <w:pPr>
        <w:tabs>
          <w:tab w:val="num" w:pos="3600"/>
        </w:tabs>
        <w:ind w:left="3600" w:hanging="360"/>
      </w:pPr>
      <w:rPr>
        <w:rFonts w:ascii="Wingdings" w:hAnsi="Wingdings" w:hint="default"/>
      </w:rPr>
    </w:lvl>
    <w:lvl w:ilvl="5" w:tplc="C15C62A0" w:tentative="1">
      <w:start w:val="1"/>
      <w:numFmt w:val="bullet"/>
      <w:lvlText w:val=""/>
      <w:lvlJc w:val="left"/>
      <w:pPr>
        <w:tabs>
          <w:tab w:val="num" w:pos="4320"/>
        </w:tabs>
        <w:ind w:left="4320" w:hanging="360"/>
      </w:pPr>
      <w:rPr>
        <w:rFonts w:ascii="Wingdings" w:hAnsi="Wingdings" w:hint="default"/>
      </w:rPr>
    </w:lvl>
    <w:lvl w:ilvl="6" w:tplc="2C7C176E" w:tentative="1">
      <w:start w:val="1"/>
      <w:numFmt w:val="bullet"/>
      <w:lvlText w:val=""/>
      <w:lvlJc w:val="left"/>
      <w:pPr>
        <w:tabs>
          <w:tab w:val="num" w:pos="5040"/>
        </w:tabs>
        <w:ind w:left="5040" w:hanging="360"/>
      </w:pPr>
      <w:rPr>
        <w:rFonts w:ascii="Wingdings" w:hAnsi="Wingdings" w:hint="default"/>
      </w:rPr>
    </w:lvl>
    <w:lvl w:ilvl="7" w:tplc="3A3A4756" w:tentative="1">
      <w:start w:val="1"/>
      <w:numFmt w:val="bullet"/>
      <w:lvlText w:val=""/>
      <w:lvlJc w:val="left"/>
      <w:pPr>
        <w:tabs>
          <w:tab w:val="num" w:pos="5760"/>
        </w:tabs>
        <w:ind w:left="5760" w:hanging="360"/>
      </w:pPr>
      <w:rPr>
        <w:rFonts w:ascii="Wingdings" w:hAnsi="Wingdings" w:hint="default"/>
      </w:rPr>
    </w:lvl>
    <w:lvl w:ilvl="8" w:tplc="4448D0C2" w:tentative="1">
      <w:start w:val="1"/>
      <w:numFmt w:val="bullet"/>
      <w:lvlText w:val=""/>
      <w:lvlJc w:val="left"/>
      <w:pPr>
        <w:tabs>
          <w:tab w:val="num" w:pos="6480"/>
        </w:tabs>
        <w:ind w:left="6480" w:hanging="360"/>
      </w:pPr>
      <w:rPr>
        <w:rFonts w:ascii="Wingdings" w:hAnsi="Wingdings" w:hint="default"/>
      </w:rPr>
    </w:lvl>
  </w:abstractNum>
  <w:abstractNum w:abstractNumId="6">
    <w:nsid w:val="6A4D5047"/>
    <w:multiLevelType w:val="hybridMultilevel"/>
    <w:tmpl w:val="F8465892"/>
    <w:lvl w:ilvl="0" w:tplc="40F66E3C">
      <w:start w:val="1"/>
      <w:numFmt w:val="bullet"/>
      <w:lvlText w:val=""/>
      <w:lvlJc w:val="left"/>
      <w:pPr>
        <w:tabs>
          <w:tab w:val="num" w:pos="720"/>
        </w:tabs>
        <w:ind w:left="720" w:hanging="360"/>
      </w:pPr>
      <w:rPr>
        <w:rFonts w:ascii="Wingdings" w:hAnsi="Wingdings" w:hint="default"/>
      </w:rPr>
    </w:lvl>
    <w:lvl w:ilvl="1" w:tplc="7D68760A" w:tentative="1">
      <w:start w:val="1"/>
      <w:numFmt w:val="bullet"/>
      <w:lvlText w:val=""/>
      <w:lvlJc w:val="left"/>
      <w:pPr>
        <w:tabs>
          <w:tab w:val="num" w:pos="1440"/>
        </w:tabs>
        <w:ind w:left="1440" w:hanging="360"/>
      </w:pPr>
      <w:rPr>
        <w:rFonts w:ascii="Wingdings" w:hAnsi="Wingdings" w:hint="default"/>
      </w:rPr>
    </w:lvl>
    <w:lvl w:ilvl="2" w:tplc="B8CCF4D4" w:tentative="1">
      <w:start w:val="1"/>
      <w:numFmt w:val="bullet"/>
      <w:lvlText w:val=""/>
      <w:lvlJc w:val="left"/>
      <w:pPr>
        <w:tabs>
          <w:tab w:val="num" w:pos="2160"/>
        </w:tabs>
        <w:ind w:left="2160" w:hanging="360"/>
      </w:pPr>
      <w:rPr>
        <w:rFonts w:ascii="Wingdings" w:hAnsi="Wingdings" w:hint="default"/>
      </w:rPr>
    </w:lvl>
    <w:lvl w:ilvl="3" w:tplc="2C1482CE" w:tentative="1">
      <w:start w:val="1"/>
      <w:numFmt w:val="bullet"/>
      <w:lvlText w:val=""/>
      <w:lvlJc w:val="left"/>
      <w:pPr>
        <w:tabs>
          <w:tab w:val="num" w:pos="2880"/>
        </w:tabs>
        <w:ind w:left="2880" w:hanging="360"/>
      </w:pPr>
      <w:rPr>
        <w:rFonts w:ascii="Wingdings" w:hAnsi="Wingdings" w:hint="default"/>
      </w:rPr>
    </w:lvl>
    <w:lvl w:ilvl="4" w:tplc="809EC118" w:tentative="1">
      <w:start w:val="1"/>
      <w:numFmt w:val="bullet"/>
      <w:lvlText w:val=""/>
      <w:lvlJc w:val="left"/>
      <w:pPr>
        <w:tabs>
          <w:tab w:val="num" w:pos="3600"/>
        </w:tabs>
        <w:ind w:left="3600" w:hanging="360"/>
      </w:pPr>
      <w:rPr>
        <w:rFonts w:ascii="Wingdings" w:hAnsi="Wingdings" w:hint="default"/>
      </w:rPr>
    </w:lvl>
    <w:lvl w:ilvl="5" w:tplc="3AB227C0" w:tentative="1">
      <w:start w:val="1"/>
      <w:numFmt w:val="bullet"/>
      <w:lvlText w:val=""/>
      <w:lvlJc w:val="left"/>
      <w:pPr>
        <w:tabs>
          <w:tab w:val="num" w:pos="4320"/>
        </w:tabs>
        <w:ind w:left="4320" w:hanging="360"/>
      </w:pPr>
      <w:rPr>
        <w:rFonts w:ascii="Wingdings" w:hAnsi="Wingdings" w:hint="default"/>
      </w:rPr>
    </w:lvl>
    <w:lvl w:ilvl="6" w:tplc="5BF401B0" w:tentative="1">
      <w:start w:val="1"/>
      <w:numFmt w:val="bullet"/>
      <w:lvlText w:val=""/>
      <w:lvlJc w:val="left"/>
      <w:pPr>
        <w:tabs>
          <w:tab w:val="num" w:pos="5040"/>
        </w:tabs>
        <w:ind w:left="5040" w:hanging="360"/>
      </w:pPr>
      <w:rPr>
        <w:rFonts w:ascii="Wingdings" w:hAnsi="Wingdings" w:hint="default"/>
      </w:rPr>
    </w:lvl>
    <w:lvl w:ilvl="7" w:tplc="259AE188" w:tentative="1">
      <w:start w:val="1"/>
      <w:numFmt w:val="bullet"/>
      <w:lvlText w:val=""/>
      <w:lvlJc w:val="left"/>
      <w:pPr>
        <w:tabs>
          <w:tab w:val="num" w:pos="5760"/>
        </w:tabs>
        <w:ind w:left="5760" w:hanging="360"/>
      </w:pPr>
      <w:rPr>
        <w:rFonts w:ascii="Wingdings" w:hAnsi="Wingdings" w:hint="default"/>
      </w:rPr>
    </w:lvl>
    <w:lvl w:ilvl="8" w:tplc="C6123E38" w:tentative="1">
      <w:start w:val="1"/>
      <w:numFmt w:val="bullet"/>
      <w:lvlText w:val=""/>
      <w:lvlJc w:val="left"/>
      <w:pPr>
        <w:tabs>
          <w:tab w:val="num" w:pos="6480"/>
        </w:tabs>
        <w:ind w:left="6480" w:hanging="360"/>
      </w:pPr>
      <w:rPr>
        <w:rFonts w:ascii="Wingdings" w:hAnsi="Wingdings" w:hint="default"/>
      </w:rPr>
    </w:lvl>
  </w:abstractNum>
  <w:abstractNum w:abstractNumId="7">
    <w:nsid w:val="6C6C37DD"/>
    <w:multiLevelType w:val="hybridMultilevel"/>
    <w:tmpl w:val="AD88D604"/>
    <w:lvl w:ilvl="0" w:tplc="8AAC6E0A">
      <w:start w:val="16"/>
      <w:numFmt w:val="bullet"/>
      <w:lvlText w:val="-"/>
      <w:lvlJc w:val="left"/>
      <w:pPr>
        <w:tabs>
          <w:tab w:val="num" w:pos="720"/>
        </w:tabs>
        <w:ind w:left="720" w:hanging="360"/>
      </w:pPr>
      <w:rPr>
        <w:rFonts w:ascii="Calibri" w:eastAsia="Times New Roman"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7A60780B"/>
    <w:multiLevelType w:val="hybridMultilevel"/>
    <w:tmpl w:val="14E641BC"/>
    <w:lvl w:ilvl="0" w:tplc="312E37AC">
      <w:start w:val="1"/>
      <w:numFmt w:val="lowerRoman"/>
      <w:lvlText w:val="%1."/>
      <w:lvlJc w:val="right"/>
      <w:pPr>
        <w:tabs>
          <w:tab w:val="num" w:pos="720"/>
        </w:tabs>
        <w:ind w:left="720" w:hanging="360"/>
      </w:pPr>
    </w:lvl>
    <w:lvl w:ilvl="1" w:tplc="163675E4" w:tentative="1">
      <w:start w:val="1"/>
      <w:numFmt w:val="lowerRoman"/>
      <w:lvlText w:val="%2."/>
      <w:lvlJc w:val="right"/>
      <w:pPr>
        <w:tabs>
          <w:tab w:val="num" w:pos="1440"/>
        </w:tabs>
        <w:ind w:left="1440" w:hanging="360"/>
      </w:pPr>
    </w:lvl>
    <w:lvl w:ilvl="2" w:tplc="39327AAE" w:tentative="1">
      <w:start w:val="1"/>
      <w:numFmt w:val="lowerRoman"/>
      <w:lvlText w:val="%3."/>
      <w:lvlJc w:val="right"/>
      <w:pPr>
        <w:tabs>
          <w:tab w:val="num" w:pos="2160"/>
        </w:tabs>
        <w:ind w:left="2160" w:hanging="360"/>
      </w:pPr>
    </w:lvl>
    <w:lvl w:ilvl="3" w:tplc="E65E21AA" w:tentative="1">
      <w:start w:val="1"/>
      <w:numFmt w:val="lowerRoman"/>
      <w:lvlText w:val="%4."/>
      <w:lvlJc w:val="right"/>
      <w:pPr>
        <w:tabs>
          <w:tab w:val="num" w:pos="2880"/>
        </w:tabs>
        <w:ind w:left="2880" w:hanging="360"/>
      </w:pPr>
    </w:lvl>
    <w:lvl w:ilvl="4" w:tplc="BF9AEFA8" w:tentative="1">
      <w:start w:val="1"/>
      <w:numFmt w:val="lowerRoman"/>
      <w:lvlText w:val="%5."/>
      <w:lvlJc w:val="right"/>
      <w:pPr>
        <w:tabs>
          <w:tab w:val="num" w:pos="3600"/>
        </w:tabs>
        <w:ind w:left="3600" w:hanging="360"/>
      </w:pPr>
    </w:lvl>
    <w:lvl w:ilvl="5" w:tplc="7F22D214" w:tentative="1">
      <w:start w:val="1"/>
      <w:numFmt w:val="lowerRoman"/>
      <w:lvlText w:val="%6."/>
      <w:lvlJc w:val="right"/>
      <w:pPr>
        <w:tabs>
          <w:tab w:val="num" w:pos="4320"/>
        </w:tabs>
        <w:ind w:left="4320" w:hanging="360"/>
      </w:pPr>
    </w:lvl>
    <w:lvl w:ilvl="6" w:tplc="CB4002EE" w:tentative="1">
      <w:start w:val="1"/>
      <w:numFmt w:val="lowerRoman"/>
      <w:lvlText w:val="%7."/>
      <w:lvlJc w:val="right"/>
      <w:pPr>
        <w:tabs>
          <w:tab w:val="num" w:pos="5040"/>
        </w:tabs>
        <w:ind w:left="5040" w:hanging="360"/>
      </w:pPr>
    </w:lvl>
    <w:lvl w:ilvl="7" w:tplc="D264FED6" w:tentative="1">
      <w:start w:val="1"/>
      <w:numFmt w:val="lowerRoman"/>
      <w:lvlText w:val="%8."/>
      <w:lvlJc w:val="right"/>
      <w:pPr>
        <w:tabs>
          <w:tab w:val="num" w:pos="5760"/>
        </w:tabs>
        <w:ind w:left="5760" w:hanging="360"/>
      </w:pPr>
    </w:lvl>
    <w:lvl w:ilvl="8" w:tplc="1B223D52" w:tentative="1">
      <w:start w:val="1"/>
      <w:numFmt w:val="lowerRoman"/>
      <w:lvlText w:val="%9."/>
      <w:lvlJc w:val="right"/>
      <w:pPr>
        <w:tabs>
          <w:tab w:val="num" w:pos="6480"/>
        </w:tabs>
        <w:ind w:left="6480" w:hanging="360"/>
      </w:pPr>
    </w:lvl>
  </w:abstractNum>
  <w:num w:numId="1">
    <w:abstractNumId w:val="5"/>
  </w:num>
  <w:num w:numId="2">
    <w:abstractNumId w:val="8"/>
  </w:num>
  <w:num w:numId="3">
    <w:abstractNumId w:val="4"/>
  </w:num>
  <w:num w:numId="4">
    <w:abstractNumId w:val="0"/>
  </w:num>
  <w:num w:numId="5">
    <w:abstractNumId w:val="2"/>
  </w:num>
  <w:num w:numId="6">
    <w:abstractNumId w:val="3"/>
  </w:num>
  <w:num w:numId="7">
    <w:abstractNumId w:val="6"/>
  </w:num>
  <w:num w:numId="8">
    <w:abstractNumId w:val="1"/>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6E4187"/>
    <w:rsid w:val="000128C5"/>
    <w:rsid w:val="00072B81"/>
    <w:rsid w:val="000E353C"/>
    <w:rsid w:val="000F6E35"/>
    <w:rsid w:val="00170028"/>
    <w:rsid w:val="001752C8"/>
    <w:rsid w:val="00181495"/>
    <w:rsid w:val="002C5B63"/>
    <w:rsid w:val="00335632"/>
    <w:rsid w:val="00397D10"/>
    <w:rsid w:val="003C6336"/>
    <w:rsid w:val="003D4B08"/>
    <w:rsid w:val="004B3B93"/>
    <w:rsid w:val="00502398"/>
    <w:rsid w:val="00511368"/>
    <w:rsid w:val="005216A0"/>
    <w:rsid w:val="005308E8"/>
    <w:rsid w:val="00572E42"/>
    <w:rsid w:val="005A1675"/>
    <w:rsid w:val="00696C69"/>
    <w:rsid w:val="006D1F8B"/>
    <w:rsid w:val="006E4187"/>
    <w:rsid w:val="00750A0C"/>
    <w:rsid w:val="00921023"/>
    <w:rsid w:val="00A631B0"/>
    <w:rsid w:val="00A66C26"/>
    <w:rsid w:val="00AA4367"/>
    <w:rsid w:val="00AE060F"/>
    <w:rsid w:val="00AE1AAB"/>
    <w:rsid w:val="00AE4801"/>
    <w:rsid w:val="00B27317"/>
    <w:rsid w:val="00BA3DB8"/>
    <w:rsid w:val="00BA473B"/>
    <w:rsid w:val="00BD721E"/>
    <w:rsid w:val="00C25507"/>
    <w:rsid w:val="00CF5D0D"/>
    <w:rsid w:val="00D76285"/>
    <w:rsid w:val="00D76F93"/>
    <w:rsid w:val="00E06B7A"/>
    <w:rsid w:val="00EE523B"/>
    <w:rsid w:val="00F10728"/>
    <w:rsid w:val="00FA02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6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3DB8"/>
    <w:pPr>
      <w:ind w:left="720"/>
      <w:contextualSpacing/>
    </w:pPr>
  </w:style>
  <w:style w:type="paragraph" w:styleId="Textodeglobo">
    <w:name w:val="Balloon Text"/>
    <w:basedOn w:val="Normal"/>
    <w:link w:val="TextodegloboCar"/>
    <w:uiPriority w:val="99"/>
    <w:semiHidden/>
    <w:unhideWhenUsed/>
    <w:rsid w:val="001814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495"/>
    <w:rPr>
      <w:rFonts w:ascii="Tahoma" w:hAnsi="Tahoma" w:cs="Tahoma"/>
      <w:sz w:val="16"/>
      <w:szCs w:val="16"/>
    </w:rPr>
  </w:style>
  <w:style w:type="character" w:styleId="Refdecomentario">
    <w:name w:val="annotation reference"/>
    <w:basedOn w:val="Fuentedeprrafopredeter"/>
    <w:uiPriority w:val="99"/>
    <w:semiHidden/>
    <w:unhideWhenUsed/>
    <w:rsid w:val="00AE4801"/>
    <w:rPr>
      <w:sz w:val="16"/>
      <w:szCs w:val="16"/>
    </w:rPr>
  </w:style>
  <w:style w:type="paragraph" w:styleId="Textocomentario">
    <w:name w:val="annotation text"/>
    <w:basedOn w:val="Normal"/>
    <w:link w:val="TextocomentarioCar"/>
    <w:uiPriority w:val="99"/>
    <w:semiHidden/>
    <w:unhideWhenUsed/>
    <w:rsid w:val="00AE4801"/>
    <w:pPr>
      <w:spacing w:line="240" w:lineRule="auto"/>
    </w:pPr>
  </w:style>
  <w:style w:type="character" w:customStyle="1" w:styleId="TextocomentarioCar">
    <w:name w:val="Texto comentario Car"/>
    <w:basedOn w:val="Fuentedeprrafopredeter"/>
    <w:link w:val="Textocomentario"/>
    <w:uiPriority w:val="99"/>
    <w:semiHidden/>
    <w:rsid w:val="00AE4801"/>
  </w:style>
  <w:style w:type="paragraph" w:styleId="Asuntodelcomentario">
    <w:name w:val="annotation subject"/>
    <w:basedOn w:val="Textocomentario"/>
    <w:next w:val="Textocomentario"/>
    <w:link w:val="AsuntodelcomentarioCar"/>
    <w:uiPriority w:val="99"/>
    <w:semiHidden/>
    <w:unhideWhenUsed/>
    <w:rsid w:val="00AE4801"/>
    <w:rPr>
      <w:b/>
      <w:bCs/>
    </w:rPr>
  </w:style>
  <w:style w:type="character" w:customStyle="1" w:styleId="AsuntodelcomentarioCar">
    <w:name w:val="Asunto del comentario Car"/>
    <w:basedOn w:val="TextocomentarioCar"/>
    <w:link w:val="Asuntodelcomentario"/>
    <w:uiPriority w:val="99"/>
    <w:semiHidden/>
    <w:rsid w:val="00AE48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4141">
      <w:bodyDiv w:val="1"/>
      <w:marLeft w:val="0"/>
      <w:marRight w:val="0"/>
      <w:marTop w:val="0"/>
      <w:marBottom w:val="0"/>
      <w:divBdr>
        <w:top w:val="none" w:sz="0" w:space="0" w:color="auto"/>
        <w:left w:val="none" w:sz="0" w:space="0" w:color="auto"/>
        <w:bottom w:val="none" w:sz="0" w:space="0" w:color="auto"/>
        <w:right w:val="none" w:sz="0" w:space="0" w:color="auto"/>
      </w:divBdr>
    </w:div>
    <w:div w:id="231894978">
      <w:bodyDiv w:val="1"/>
      <w:marLeft w:val="0"/>
      <w:marRight w:val="0"/>
      <w:marTop w:val="0"/>
      <w:marBottom w:val="0"/>
      <w:divBdr>
        <w:top w:val="none" w:sz="0" w:space="0" w:color="auto"/>
        <w:left w:val="none" w:sz="0" w:space="0" w:color="auto"/>
        <w:bottom w:val="none" w:sz="0" w:space="0" w:color="auto"/>
        <w:right w:val="none" w:sz="0" w:space="0" w:color="auto"/>
      </w:divBdr>
    </w:div>
    <w:div w:id="277955415">
      <w:bodyDiv w:val="1"/>
      <w:marLeft w:val="0"/>
      <w:marRight w:val="0"/>
      <w:marTop w:val="0"/>
      <w:marBottom w:val="0"/>
      <w:divBdr>
        <w:top w:val="none" w:sz="0" w:space="0" w:color="auto"/>
        <w:left w:val="none" w:sz="0" w:space="0" w:color="auto"/>
        <w:bottom w:val="none" w:sz="0" w:space="0" w:color="auto"/>
        <w:right w:val="none" w:sz="0" w:space="0" w:color="auto"/>
      </w:divBdr>
    </w:div>
    <w:div w:id="381683741">
      <w:bodyDiv w:val="1"/>
      <w:marLeft w:val="0"/>
      <w:marRight w:val="0"/>
      <w:marTop w:val="0"/>
      <w:marBottom w:val="0"/>
      <w:divBdr>
        <w:top w:val="none" w:sz="0" w:space="0" w:color="auto"/>
        <w:left w:val="none" w:sz="0" w:space="0" w:color="auto"/>
        <w:bottom w:val="none" w:sz="0" w:space="0" w:color="auto"/>
        <w:right w:val="none" w:sz="0" w:space="0" w:color="auto"/>
      </w:divBdr>
      <w:divsChild>
        <w:div w:id="2073698751">
          <w:marLeft w:val="806"/>
          <w:marRight w:val="0"/>
          <w:marTop w:val="0"/>
          <w:marBottom w:val="0"/>
          <w:divBdr>
            <w:top w:val="none" w:sz="0" w:space="0" w:color="auto"/>
            <w:left w:val="none" w:sz="0" w:space="0" w:color="auto"/>
            <w:bottom w:val="none" w:sz="0" w:space="0" w:color="auto"/>
            <w:right w:val="none" w:sz="0" w:space="0" w:color="auto"/>
          </w:divBdr>
        </w:div>
        <w:div w:id="970401911">
          <w:marLeft w:val="806"/>
          <w:marRight w:val="0"/>
          <w:marTop w:val="0"/>
          <w:marBottom w:val="0"/>
          <w:divBdr>
            <w:top w:val="none" w:sz="0" w:space="0" w:color="auto"/>
            <w:left w:val="none" w:sz="0" w:space="0" w:color="auto"/>
            <w:bottom w:val="none" w:sz="0" w:space="0" w:color="auto"/>
            <w:right w:val="none" w:sz="0" w:space="0" w:color="auto"/>
          </w:divBdr>
        </w:div>
        <w:div w:id="2128698186">
          <w:marLeft w:val="806"/>
          <w:marRight w:val="0"/>
          <w:marTop w:val="0"/>
          <w:marBottom w:val="0"/>
          <w:divBdr>
            <w:top w:val="none" w:sz="0" w:space="0" w:color="auto"/>
            <w:left w:val="none" w:sz="0" w:space="0" w:color="auto"/>
            <w:bottom w:val="none" w:sz="0" w:space="0" w:color="auto"/>
            <w:right w:val="none" w:sz="0" w:space="0" w:color="auto"/>
          </w:divBdr>
        </w:div>
        <w:div w:id="1517229464">
          <w:marLeft w:val="806"/>
          <w:marRight w:val="0"/>
          <w:marTop w:val="0"/>
          <w:marBottom w:val="0"/>
          <w:divBdr>
            <w:top w:val="none" w:sz="0" w:space="0" w:color="auto"/>
            <w:left w:val="none" w:sz="0" w:space="0" w:color="auto"/>
            <w:bottom w:val="none" w:sz="0" w:space="0" w:color="auto"/>
            <w:right w:val="none" w:sz="0" w:space="0" w:color="auto"/>
          </w:divBdr>
        </w:div>
        <w:div w:id="1942226481">
          <w:marLeft w:val="806"/>
          <w:marRight w:val="0"/>
          <w:marTop w:val="0"/>
          <w:marBottom w:val="0"/>
          <w:divBdr>
            <w:top w:val="none" w:sz="0" w:space="0" w:color="auto"/>
            <w:left w:val="none" w:sz="0" w:space="0" w:color="auto"/>
            <w:bottom w:val="none" w:sz="0" w:space="0" w:color="auto"/>
            <w:right w:val="none" w:sz="0" w:space="0" w:color="auto"/>
          </w:divBdr>
        </w:div>
      </w:divsChild>
    </w:div>
    <w:div w:id="512645291">
      <w:bodyDiv w:val="1"/>
      <w:marLeft w:val="0"/>
      <w:marRight w:val="0"/>
      <w:marTop w:val="0"/>
      <w:marBottom w:val="0"/>
      <w:divBdr>
        <w:top w:val="none" w:sz="0" w:space="0" w:color="auto"/>
        <w:left w:val="none" w:sz="0" w:space="0" w:color="auto"/>
        <w:bottom w:val="none" w:sz="0" w:space="0" w:color="auto"/>
        <w:right w:val="none" w:sz="0" w:space="0" w:color="auto"/>
      </w:divBdr>
    </w:div>
    <w:div w:id="533200981">
      <w:bodyDiv w:val="1"/>
      <w:marLeft w:val="0"/>
      <w:marRight w:val="0"/>
      <w:marTop w:val="0"/>
      <w:marBottom w:val="0"/>
      <w:divBdr>
        <w:top w:val="none" w:sz="0" w:space="0" w:color="auto"/>
        <w:left w:val="none" w:sz="0" w:space="0" w:color="auto"/>
        <w:bottom w:val="none" w:sz="0" w:space="0" w:color="auto"/>
        <w:right w:val="none" w:sz="0" w:space="0" w:color="auto"/>
      </w:divBdr>
    </w:div>
    <w:div w:id="641009046">
      <w:bodyDiv w:val="1"/>
      <w:marLeft w:val="0"/>
      <w:marRight w:val="0"/>
      <w:marTop w:val="0"/>
      <w:marBottom w:val="0"/>
      <w:divBdr>
        <w:top w:val="none" w:sz="0" w:space="0" w:color="auto"/>
        <w:left w:val="none" w:sz="0" w:space="0" w:color="auto"/>
        <w:bottom w:val="none" w:sz="0" w:space="0" w:color="auto"/>
        <w:right w:val="none" w:sz="0" w:space="0" w:color="auto"/>
      </w:divBdr>
    </w:div>
    <w:div w:id="692075856">
      <w:bodyDiv w:val="1"/>
      <w:marLeft w:val="0"/>
      <w:marRight w:val="0"/>
      <w:marTop w:val="0"/>
      <w:marBottom w:val="0"/>
      <w:divBdr>
        <w:top w:val="none" w:sz="0" w:space="0" w:color="auto"/>
        <w:left w:val="none" w:sz="0" w:space="0" w:color="auto"/>
        <w:bottom w:val="none" w:sz="0" w:space="0" w:color="auto"/>
        <w:right w:val="none" w:sz="0" w:space="0" w:color="auto"/>
      </w:divBdr>
    </w:div>
    <w:div w:id="811021310">
      <w:bodyDiv w:val="1"/>
      <w:marLeft w:val="0"/>
      <w:marRight w:val="0"/>
      <w:marTop w:val="0"/>
      <w:marBottom w:val="0"/>
      <w:divBdr>
        <w:top w:val="none" w:sz="0" w:space="0" w:color="auto"/>
        <w:left w:val="none" w:sz="0" w:space="0" w:color="auto"/>
        <w:bottom w:val="none" w:sz="0" w:space="0" w:color="auto"/>
        <w:right w:val="none" w:sz="0" w:space="0" w:color="auto"/>
      </w:divBdr>
    </w:div>
    <w:div w:id="964849086">
      <w:bodyDiv w:val="1"/>
      <w:marLeft w:val="0"/>
      <w:marRight w:val="0"/>
      <w:marTop w:val="0"/>
      <w:marBottom w:val="0"/>
      <w:divBdr>
        <w:top w:val="none" w:sz="0" w:space="0" w:color="auto"/>
        <w:left w:val="none" w:sz="0" w:space="0" w:color="auto"/>
        <w:bottom w:val="none" w:sz="0" w:space="0" w:color="auto"/>
        <w:right w:val="none" w:sz="0" w:space="0" w:color="auto"/>
      </w:divBdr>
    </w:div>
    <w:div w:id="1006588697">
      <w:bodyDiv w:val="1"/>
      <w:marLeft w:val="0"/>
      <w:marRight w:val="0"/>
      <w:marTop w:val="0"/>
      <w:marBottom w:val="0"/>
      <w:divBdr>
        <w:top w:val="none" w:sz="0" w:space="0" w:color="auto"/>
        <w:left w:val="none" w:sz="0" w:space="0" w:color="auto"/>
        <w:bottom w:val="none" w:sz="0" w:space="0" w:color="auto"/>
        <w:right w:val="none" w:sz="0" w:space="0" w:color="auto"/>
      </w:divBdr>
    </w:div>
    <w:div w:id="1180199084">
      <w:bodyDiv w:val="1"/>
      <w:marLeft w:val="0"/>
      <w:marRight w:val="0"/>
      <w:marTop w:val="0"/>
      <w:marBottom w:val="0"/>
      <w:divBdr>
        <w:top w:val="none" w:sz="0" w:space="0" w:color="auto"/>
        <w:left w:val="none" w:sz="0" w:space="0" w:color="auto"/>
        <w:bottom w:val="none" w:sz="0" w:space="0" w:color="auto"/>
        <w:right w:val="none" w:sz="0" w:space="0" w:color="auto"/>
      </w:divBdr>
    </w:div>
    <w:div w:id="1279601894">
      <w:bodyDiv w:val="1"/>
      <w:marLeft w:val="0"/>
      <w:marRight w:val="0"/>
      <w:marTop w:val="0"/>
      <w:marBottom w:val="0"/>
      <w:divBdr>
        <w:top w:val="none" w:sz="0" w:space="0" w:color="auto"/>
        <w:left w:val="none" w:sz="0" w:space="0" w:color="auto"/>
        <w:bottom w:val="none" w:sz="0" w:space="0" w:color="auto"/>
        <w:right w:val="none" w:sz="0" w:space="0" w:color="auto"/>
      </w:divBdr>
    </w:div>
    <w:div w:id="1830246682">
      <w:bodyDiv w:val="1"/>
      <w:marLeft w:val="0"/>
      <w:marRight w:val="0"/>
      <w:marTop w:val="0"/>
      <w:marBottom w:val="0"/>
      <w:divBdr>
        <w:top w:val="none" w:sz="0" w:space="0" w:color="auto"/>
        <w:left w:val="none" w:sz="0" w:space="0" w:color="auto"/>
        <w:bottom w:val="none" w:sz="0" w:space="0" w:color="auto"/>
        <w:right w:val="none" w:sz="0" w:space="0" w:color="auto"/>
      </w:divBdr>
    </w:div>
    <w:div w:id="185245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41D49-5894-418E-A8AD-B783134A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1548</Words>
  <Characters>8519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Miren</dc:creator>
  <cp:lastModifiedBy>Carmenchu</cp:lastModifiedBy>
  <cp:revision>2</cp:revision>
  <dcterms:created xsi:type="dcterms:W3CDTF">2015-11-19T13:09:00Z</dcterms:created>
  <dcterms:modified xsi:type="dcterms:W3CDTF">2015-11-19T13:09:00Z</dcterms:modified>
</cp:coreProperties>
</file>